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F1" w:rsidRDefault="00861BB9">
      <w:pPr>
        <w:pStyle w:val="Standard"/>
        <w:spacing w:line="450" w:lineRule="exact"/>
        <w:jc w:val="center"/>
      </w:pPr>
      <w:bookmarkStart w:id="0" w:name="_GoBack"/>
      <w:bookmarkEnd w:id="0"/>
      <w:r>
        <w:rPr>
          <w:rFonts w:ascii="Times New Roman" w:eastAsia="標楷體" w:hAnsi="Times New Roman" w:cs="Times New Roman"/>
          <w:b/>
          <w:sz w:val="36"/>
          <w:szCs w:val="36"/>
        </w:rPr>
        <w:t>校園防毒通報作業重點</w:t>
      </w:r>
    </w:p>
    <w:p w:rsidR="00C863F1" w:rsidRDefault="00861BB9">
      <w:pPr>
        <w:pStyle w:val="1"/>
        <w:spacing w:line="450" w:lineRule="exact"/>
      </w:pPr>
      <w:r>
        <w:rPr>
          <w:rFonts w:ascii="Times New Roman" w:hAnsi="Times New Roman" w:cs="Times New Roman"/>
          <w:b/>
        </w:rPr>
        <w:t>壹、學校應辦事項</w:t>
      </w:r>
    </w:p>
    <w:p w:rsidR="00C863F1" w:rsidRDefault="00861BB9">
      <w:pPr>
        <w:pStyle w:val="2"/>
        <w:spacing w:line="450" w:lineRule="exact"/>
      </w:pPr>
      <w:r>
        <w:rPr>
          <w:rFonts w:ascii="Times New Roman" w:hAnsi="Times New Roman" w:cs="Times New Roman"/>
        </w:rPr>
        <w:t>一、防毒（防制毒品進入校園）</w:t>
      </w:r>
    </w:p>
    <w:p w:rsidR="00C863F1" w:rsidRDefault="00861BB9">
      <w:pPr>
        <w:pStyle w:val="3"/>
        <w:spacing w:line="450" w:lineRule="exact"/>
      </w:pPr>
      <w:r>
        <w:rPr>
          <w:rFonts w:ascii="Times New Roman" w:hAnsi="Times New Roman"/>
        </w:rPr>
        <w:t>（一）找出校內重點及高關懷學生</w:t>
      </w:r>
    </w:p>
    <w:p w:rsidR="00C863F1" w:rsidRDefault="00861BB9">
      <w:pPr>
        <w:pStyle w:val="3"/>
        <w:spacing w:line="450" w:lineRule="exact"/>
        <w:ind w:left="1140" w:hanging="420"/>
        <w:jc w:val="both"/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、知悉遭警查獲販賣，卻透過休、轉學，於不同學校就讀學生，以及</w:t>
      </w:r>
      <w:proofErr w:type="gramStart"/>
      <w:r>
        <w:rPr>
          <w:rFonts w:ascii="Times New Roman" w:hAnsi="Times New Roman"/>
        </w:rPr>
        <w:t>進修部有報到</w:t>
      </w:r>
      <w:proofErr w:type="gramEnd"/>
      <w:r>
        <w:rPr>
          <w:rFonts w:ascii="Times New Roman" w:hAnsi="Times New Roman"/>
        </w:rPr>
        <w:t>未註冊之</w:t>
      </w:r>
      <w:proofErr w:type="gramStart"/>
      <w:r>
        <w:rPr>
          <w:rFonts w:ascii="Times New Roman" w:hAnsi="Times New Roman"/>
        </w:rPr>
        <w:t>疑似涉毒學生</w:t>
      </w:r>
      <w:proofErr w:type="gramEnd"/>
      <w:r>
        <w:rPr>
          <w:rFonts w:ascii="Times New Roman" w:hAnsi="Times New Roman"/>
        </w:rPr>
        <w:t>（重點學生），名單以密件提供校外</w:t>
      </w:r>
      <w:proofErr w:type="gramStart"/>
      <w:r>
        <w:rPr>
          <w:rFonts w:ascii="Times New Roman" w:hAnsi="Times New Roman"/>
        </w:rPr>
        <w:t>會轉檢警</w:t>
      </w:r>
      <w:proofErr w:type="gramEnd"/>
      <w:r>
        <w:rPr>
          <w:rFonts w:ascii="Times New Roman" w:hAnsi="Times New Roman"/>
        </w:rPr>
        <w:t>，列為關注對象。</w:t>
      </w:r>
    </w:p>
    <w:p w:rsidR="00C863F1" w:rsidRDefault="00861BB9">
      <w:pPr>
        <w:pStyle w:val="3"/>
        <w:tabs>
          <w:tab w:val="left" w:pos="3410"/>
        </w:tabs>
        <w:spacing w:line="450" w:lineRule="exact"/>
        <w:ind w:left="1140" w:hanging="420"/>
        <w:jc w:val="both"/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、依特定人員定義及「藥物濫用高風險觀察量表」</w:t>
      </w:r>
      <w:r>
        <w:rPr>
          <w:rStyle w:val="af5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，落實特定人員提列及清查。（特定人員第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類</w:t>
      </w:r>
      <w:r>
        <w:rPr>
          <w:rFonts w:ascii="Times New Roman" w:eastAsia="新細明體" w:hAnsi="Times New Roman"/>
        </w:rPr>
        <w:t>「</w:t>
      </w:r>
      <w:r>
        <w:rPr>
          <w:rFonts w:ascii="Times New Roman" w:hAnsi="Times New Roman"/>
        </w:rPr>
        <w:t>有事實足認為有施用毒品嫌疑之各級學校學生</w:t>
      </w:r>
      <w:r>
        <w:rPr>
          <w:rFonts w:ascii="Times New Roman" w:eastAsia="新細明體" w:hAnsi="Times New Roman"/>
        </w:rPr>
        <w:t>」</w:t>
      </w:r>
      <w:r>
        <w:rPr>
          <w:rFonts w:ascii="Times New Roman" w:hAnsi="Times New Roman"/>
        </w:rPr>
        <w:t>事實認定觀察建議原則如附件）</w:t>
      </w:r>
    </w:p>
    <w:p w:rsidR="00C863F1" w:rsidRDefault="00861BB9">
      <w:pPr>
        <w:pStyle w:val="3"/>
        <w:tabs>
          <w:tab w:val="left" w:pos="3410"/>
        </w:tabs>
        <w:spacing w:line="450" w:lineRule="exact"/>
        <w:ind w:left="1140" w:hanging="420"/>
        <w:jc w:val="both"/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、合理懷疑學生施用毒品，惟經快速檢驗試劑檢驗為陰性者，檢體透過</w:t>
      </w:r>
      <w:proofErr w:type="gramStart"/>
      <w:r>
        <w:rPr>
          <w:rFonts w:ascii="Times New Roman" w:hAnsi="Times New Roman"/>
        </w:rPr>
        <w:t>校外會協請</w:t>
      </w:r>
      <w:proofErr w:type="gramEnd"/>
      <w:r>
        <w:rPr>
          <w:rFonts w:ascii="Times New Roman" w:hAnsi="Times New Roman"/>
        </w:rPr>
        <w:t>法醫研究所協助檢驗。</w:t>
      </w:r>
    </w:p>
    <w:p w:rsidR="00C863F1" w:rsidRDefault="00861BB9">
      <w:pPr>
        <w:pStyle w:val="3"/>
        <w:tabs>
          <w:tab w:val="left" w:pos="3410"/>
        </w:tabs>
        <w:spacing w:line="450" w:lineRule="exact"/>
        <w:ind w:left="1140" w:hanging="420"/>
        <w:jc w:val="both"/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、針對校內高關懷、危機家庭、脆弱家庭學生，聯結相關資源，提供輔導措施。</w:t>
      </w:r>
    </w:p>
    <w:p w:rsidR="00C863F1" w:rsidRDefault="00861BB9">
      <w:pPr>
        <w:pStyle w:val="3"/>
        <w:tabs>
          <w:tab w:val="left" w:pos="5100"/>
        </w:tabs>
        <w:spacing w:line="450" w:lineRule="exact"/>
      </w:pPr>
      <w:r>
        <w:rPr>
          <w:rFonts w:ascii="Times New Roman" w:hAnsi="Times New Roman"/>
        </w:rPr>
        <w:t>（二）</w:t>
      </w:r>
      <w:proofErr w:type="gramStart"/>
      <w:r>
        <w:rPr>
          <w:rFonts w:ascii="Times New Roman" w:hAnsi="Times New Roman"/>
        </w:rPr>
        <w:t>校外藥頭</w:t>
      </w:r>
      <w:proofErr w:type="gramEnd"/>
      <w:r>
        <w:rPr>
          <w:rFonts w:ascii="Times New Roman" w:hAnsi="Times New Roman"/>
        </w:rPr>
        <w:t>：落實檢警緝毒溯源</w:t>
      </w:r>
      <w:proofErr w:type="gramStart"/>
      <w:r>
        <w:rPr>
          <w:rFonts w:ascii="Times New Roman" w:hAnsi="Times New Roman"/>
        </w:rPr>
        <w:t>之情資通報</w:t>
      </w:r>
      <w:proofErr w:type="gramEnd"/>
      <w:r>
        <w:rPr>
          <w:rFonts w:ascii="Times New Roman" w:hAnsi="Times New Roman"/>
        </w:rPr>
        <w:t>。</w:t>
      </w:r>
    </w:p>
    <w:p w:rsidR="00C863F1" w:rsidRDefault="00861BB9">
      <w:pPr>
        <w:pStyle w:val="3"/>
        <w:tabs>
          <w:tab w:val="left" w:pos="5100"/>
        </w:tabs>
        <w:spacing w:line="450" w:lineRule="exact"/>
      </w:pPr>
      <w:r>
        <w:rPr>
          <w:rFonts w:ascii="Times New Roman" w:hAnsi="Times New Roman"/>
          <w:color w:val="0070C0"/>
        </w:rPr>
        <w:t>（三）校長應掌握校內高風險學生</w:t>
      </w:r>
    </w:p>
    <w:p w:rsidR="00C863F1" w:rsidRDefault="00861BB9">
      <w:pPr>
        <w:pStyle w:val="3"/>
        <w:tabs>
          <w:tab w:val="left" w:pos="5154"/>
        </w:tabs>
        <w:spacing w:line="450" w:lineRule="exact"/>
        <w:ind w:left="1134" w:hanging="426"/>
        <w:jc w:val="both"/>
      </w:pPr>
      <w:r>
        <w:rPr>
          <w:rFonts w:ascii="Times New Roman" w:hAnsi="Times New Roman"/>
          <w:color w:val="0070C0"/>
        </w:rPr>
        <w:t>1</w:t>
      </w:r>
      <w:r>
        <w:rPr>
          <w:rFonts w:ascii="Times New Roman" w:hAnsi="Times New Roman"/>
          <w:color w:val="0070C0"/>
        </w:rPr>
        <w:t>、學校應整合各行政處室、導師及專任教師能量，建構完善預警、清查及輔導機制。</w:t>
      </w:r>
    </w:p>
    <w:p w:rsidR="00C863F1" w:rsidRDefault="00861BB9">
      <w:pPr>
        <w:pStyle w:val="3"/>
        <w:tabs>
          <w:tab w:val="left" w:pos="5140"/>
        </w:tabs>
        <w:spacing w:line="450" w:lineRule="exact"/>
        <w:ind w:left="1120" w:hanging="412"/>
        <w:jc w:val="both"/>
      </w:pPr>
      <w:r>
        <w:rPr>
          <w:rFonts w:ascii="Times New Roman" w:hAnsi="Times New Roman"/>
          <w:color w:val="0070C0"/>
        </w:rPr>
        <w:t>2</w:t>
      </w:r>
      <w:r>
        <w:rPr>
          <w:rFonts w:ascii="Times New Roman" w:hAnsi="Times New Roman"/>
          <w:color w:val="0070C0"/>
        </w:rPr>
        <w:t>、學校召開「特定人員</w:t>
      </w:r>
      <w:proofErr w:type="gramStart"/>
      <w:r>
        <w:rPr>
          <w:rFonts w:ascii="Times New Roman" w:hAnsi="Times New Roman"/>
          <w:color w:val="0070C0"/>
        </w:rPr>
        <w:t>提列審認</w:t>
      </w:r>
      <w:proofErr w:type="gramEnd"/>
      <w:r>
        <w:rPr>
          <w:rFonts w:ascii="Times New Roman" w:hAnsi="Times New Roman"/>
          <w:color w:val="0070C0"/>
        </w:rPr>
        <w:t>會議」、「春暉小組開、結案會議」及「校園安全會議」等相關涉學校重點及高關懷學生會議，應由校長親自主持，並積極參加縣</w:t>
      </w:r>
      <w:r>
        <w:rPr>
          <w:rFonts w:ascii="Times New Roman" w:hAnsi="Times New Roman"/>
          <w:color w:val="0070C0"/>
        </w:rPr>
        <w:t>(</w:t>
      </w:r>
      <w:r>
        <w:rPr>
          <w:rFonts w:ascii="Times New Roman" w:hAnsi="Times New Roman"/>
          <w:color w:val="0070C0"/>
        </w:rPr>
        <w:t>市</w:t>
      </w:r>
      <w:r>
        <w:rPr>
          <w:rFonts w:ascii="Times New Roman" w:hAnsi="Times New Roman"/>
          <w:color w:val="0070C0"/>
        </w:rPr>
        <w:t>)</w:t>
      </w:r>
      <w:r>
        <w:rPr>
          <w:rFonts w:ascii="Times New Roman" w:hAnsi="Times New Roman"/>
          <w:color w:val="0070C0"/>
        </w:rPr>
        <w:t>防制學生藥物濫用相關會議。</w:t>
      </w:r>
    </w:p>
    <w:p w:rsidR="00C863F1" w:rsidRDefault="00861BB9">
      <w:pPr>
        <w:pStyle w:val="3"/>
        <w:spacing w:before="72" w:line="450" w:lineRule="exact"/>
      </w:pPr>
      <w:r>
        <w:rPr>
          <w:rFonts w:ascii="Times New Roman" w:hAnsi="Times New Roman"/>
        </w:rPr>
        <w:t>二、強化親師生藥物濫用</w:t>
      </w:r>
      <w:proofErr w:type="gramStart"/>
      <w:r>
        <w:rPr>
          <w:rFonts w:ascii="Times New Roman" w:hAnsi="Times New Roman"/>
        </w:rPr>
        <w:t>防制知能</w:t>
      </w:r>
      <w:proofErr w:type="gramEnd"/>
    </w:p>
    <w:p w:rsidR="00C863F1" w:rsidRDefault="00861BB9">
      <w:pPr>
        <w:pStyle w:val="3"/>
        <w:spacing w:line="450" w:lineRule="exact"/>
        <w:jc w:val="both"/>
      </w:pPr>
      <w:r>
        <w:rPr>
          <w:rFonts w:ascii="Times New Roman" w:hAnsi="Times New Roman"/>
        </w:rPr>
        <w:t>（一）持續針對導師、輔導教師、專業輔導人員及家長，辦理藥物濫用</w:t>
      </w:r>
      <w:proofErr w:type="gramStart"/>
      <w:r>
        <w:rPr>
          <w:rFonts w:ascii="Times New Roman" w:hAnsi="Times New Roman"/>
        </w:rPr>
        <w:t>防制知能</w:t>
      </w:r>
      <w:proofErr w:type="gramEnd"/>
      <w:r>
        <w:rPr>
          <w:rFonts w:ascii="Times New Roman" w:hAnsi="Times New Roman"/>
        </w:rPr>
        <w:t>研習，或透過通訊網絡，加強宣導。</w:t>
      </w:r>
    </w:p>
    <w:p w:rsidR="00C863F1" w:rsidRDefault="00861BB9">
      <w:pPr>
        <w:pStyle w:val="3"/>
        <w:spacing w:after="57" w:line="450" w:lineRule="exact"/>
        <w:ind w:left="1077" w:hanging="839"/>
        <w:jc w:val="both"/>
      </w:pPr>
      <w:r>
        <w:rPr>
          <w:rFonts w:ascii="Times New Roman" w:hAnsi="Times New Roman"/>
        </w:rPr>
        <w:t>（二）結合家長志工（或由學校教師），運用反毒繪本、動畫、影片、</w:t>
      </w:r>
      <w:proofErr w:type="gramStart"/>
      <w:r>
        <w:rPr>
          <w:rFonts w:ascii="Times New Roman" w:hAnsi="Times New Roman"/>
        </w:rPr>
        <w:t>桌遊等</w:t>
      </w:r>
      <w:proofErr w:type="gramEnd"/>
      <w:r>
        <w:rPr>
          <w:rFonts w:ascii="Times New Roman" w:hAnsi="Times New Roman"/>
        </w:rPr>
        <w:t>，設計討論</w:t>
      </w:r>
      <w:proofErr w:type="gramStart"/>
      <w:r>
        <w:rPr>
          <w:rFonts w:ascii="Times New Roman" w:hAnsi="Times New Roman"/>
        </w:rPr>
        <w:t>題綱</w:t>
      </w:r>
      <w:proofErr w:type="gramEnd"/>
      <w:r>
        <w:rPr>
          <w:rFonts w:ascii="Times New Roman" w:hAnsi="Times New Roman"/>
          <w:color w:val="0070C0"/>
        </w:rPr>
        <w:t>實施</w:t>
      </w:r>
      <w:r>
        <w:rPr>
          <w:rFonts w:ascii="Times New Roman" w:hAnsi="Times New Roman"/>
        </w:rPr>
        <w:t>入班宣導</w:t>
      </w:r>
      <w:r>
        <w:rPr>
          <w:rFonts w:ascii="Times New Roman" w:hAnsi="Times New Roman"/>
          <w:color w:val="0070C0"/>
        </w:rPr>
        <w:t>；各國民中學及國小</w:t>
      </w:r>
      <w:r>
        <w:rPr>
          <w:rFonts w:ascii="Times New Roman" w:hAnsi="Times New Roman"/>
          <w:color w:val="0070C0"/>
        </w:rPr>
        <w:t>(</w:t>
      </w:r>
      <w:r>
        <w:rPr>
          <w:rFonts w:ascii="Times New Roman" w:hAnsi="Times New Roman"/>
          <w:color w:val="0070C0"/>
        </w:rPr>
        <w:t>高年級</w:t>
      </w:r>
      <w:r>
        <w:rPr>
          <w:rFonts w:ascii="Times New Roman" w:hAnsi="Times New Roman"/>
          <w:color w:val="0070C0"/>
        </w:rPr>
        <w:t>)</w:t>
      </w:r>
      <w:r>
        <w:rPr>
          <w:rFonts w:ascii="Times New Roman" w:hAnsi="Times New Roman"/>
          <w:color w:val="0070C0"/>
        </w:rPr>
        <w:t>班級，需於</w:t>
      </w:r>
      <w:r>
        <w:rPr>
          <w:rFonts w:ascii="Times New Roman" w:hAnsi="Times New Roman"/>
          <w:color w:val="0070C0"/>
        </w:rPr>
        <w:t>108</w:t>
      </w:r>
      <w:r>
        <w:rPr>
          <w:rFonts w:ascii="Times New Roman" w:hAnsi="Times New Roman"/>
          <w:color w:val="0070C0"/>
        </w:rPr>
        <w:t>年底前至少完成</w:t>
      </w:r>
      <w:r>
        <w:rPr>
          <w:rFonts w:ascii="Times New Roman" w:hAnsi="Times New Roman"/>
          <w:color w:val="0070C0"/>
        </w:rPr>
        <w:t>1</w:t>
      </w:r>
      <w:r>
        <w:rPr>
          <w:rFonts w:ascii="Times New Roman" w:hAnsi="Times New Roman"/>
          <w:color w:val="0070C0"/>
        </w:rPr>
        <w:t>場次入班反毒宣導。</w:t>
      </w:r>
    </w:p>
    <w:p w:rsidR="00C863F1" w:rsidRDefault="00861BB9">
      <w:pPr>
        <w:pStyle w:val="1"/>
        <w:spacing w:before="170" w:after="108" w:line="450" w:lineRule="exact"/>
      </w:pPr>
      <w:r>
        <w:rPr>
          <w:rFonts w:ascii="Times New Roman" w:hAnsi="Times New Roman" w:cs="Times New Roman"/>
          <w:b/>
        </w:rPr>
        <w:lastRenderedPageBreak/>
        <w:t>貳、縣市教育局處、聯絡處應辦事項</w:t>
      </w:r>
    </w:p>
    <w:p w:rsidR="00C863F1" w:rsidRDefault="00861BB9">
      <w:pPr>
        <w:pStyle w:val="2"/>
        <w:spacing w:line="450" w:lineRule="exact"/>
      </w:pPr>
      <w:r>
        <w:rPr>
          <w:rFonts w:ascii="Times New Roman" w:hAnsi="Times New Roman" w:cs="Times New Roman"/>
        </w:rPr>
        <w:t>一、防毒（防制毒品進入校園）</w:t>
      </w:r>
    </w:p>
    <w:p w:rsidR="00C863F1" w:rsidRDefault="00861BB9">
      <w:pPr>
        <w:pStyle w:val="3"/>
        <w:spacing w:line="450" w:lineRule="exact"/>
        <w:jc w:val="both"/>
      </w:pPr>
      <w:r>
        <w:rPr>
          <w:rFonts w:ascii="Times New Roman" w:hAnsi="Times New Roman"/>
        </w:rPr>
        <w:t>（一）指派專人</w:t>
      </w:r>
      <w:proofErr w:type="gramStart"/>
      <w:r>
        <w:rPr>
          <w:rFonts w:ascii="Times New Roman" w:hAnsi="Times New Roman"/>
        </w:rPr>
        <w:t>於校安通報</w:t>
      </w:r>
      <w:proofErr w:type="gramEnd"/>
      <w:r>
        <w:rPr>
          <w:rFonts w:ascii="Times New Roman" w:hAnsi="Times New Roman"/>
        </w:rPr>
        <w:t>系統及藥物濫用個案輔導追蹤管理系統，逐案清查「遭警查獲前未列入特定人員比例較高學校」以及「通報後仍未列入特定人員管制或開案學校」列為重點學校加強督導。</w:t>
      </w:r>
    </w:p>
    <w:p w:rsidR="00C863F1" w:rsidRDefault="00861BB9">
      <w:pPr>
        <w:pStyle w:val="3"/>
        <w:spacing w:line="450" w:lineRule="exact"/>
        <w:jc w:val="both"/>
      </w:pPr>
      <w:r>
        <w:rPr>
          <w:rFonts w:ascii="Times New Roman" w:hAnsi="Times New Roman"/>
        </w:rPr>
        <w:t>（二）知悉遭警查獲販賣，卻透過休、轉學，於不同學校就讀學生，以及各校</w:t>
      </w:r>
      <w:proofErr w:type="gramStart"/>
      <w:r>
        <w:rPr>
          <w:rFonts w:ascii="Times New Roman" w:hAnsi="Times New Roman"/>
        </w:rPr>
        <w:t>進修部有報到</w:t>
      </w:r>
      <w:proofErr w:type="gramEnd"/>
      <w:r>
        <w:rPr>
          <w:rFonts w:ascii="Times New Roman" w:hAnsi="Times New Roman"/>
        </w:rPr>
        <w:t>未註冊之</w:t>
      </w:r>
      <w:proofErr w:type="gramStart"/>
      <w:r>
        <w:rPr>
          <w:rFonts w:ascii="Times New Roman" w:hAnsi="Times New Roman"/>
        </w:rPr>
        <w:t>疑似涉毒學生</w:t>
      </w:r>
      <w:proofErr w:type="gramEnd"/>
      <w:r>
        <w:rPr>
          <w:rFonts w:ascii="Times New Roman" w:hAnsi="Times New Roman"/>
        </w:rPr>
        <w:t>，名單以密件提供檢警，列為關注對象。</w:t>
      </w:r>
    </w:p>
    <w:p w:rsidR="00C863F1" w:rsidRDefault="00861BB9">
      <w:pPr>
        <w:pStyle w:val="3"/>
        <w:spacing w:line="450" w:lineRule="exact"/>
        <w:jc w:val="both"/>
      </w:pPr>
      <w:r>
        <w:rPr>
          <w:rFonts w:ascii="Times New Roman" w:hAnsi="Times New Roman"/>
        </w:rPr>
        <w:t>（三）鼓勵轄屬學校落實檢警緝毒溯源</w:t>
      </w:r>
      <w:proofErr w:type="gramStart"/>
      <w:r>
        <w:rPr>
          <w:rFonts w:ascii="Times New Roman" w:hAnsi="Times New Roman"/>
        </w:rPr>
        <w:t>之情資通報</w:t>
      </w:r>
      <w:proofErr w:type="gramEnd"/>
      <w:r>
        <w:rPr>
          <w:rFonts w:ascii="Times New Roman" w:hAnsi="Times New Roman"/>
        </w:rPr>
        <w:t>，並</w:t>
      </w:r>
      <w:proofErr w:type="gramStart"/>
      <w:r>
        <w:rPr>
          <w:rFonts w:ascii="Times New Roman" w:hAnsi="Times New Roman"/>
        </w:rPr>
        <w:t>加強情資通報</w:t>
      </w:r>
      <w:proofErr w:type="gramEnd"/>
      <w:r>
        <w:rPr>
          <w:rFonts w:ascii="Times New Roman" w:hAnsi="Times New Roman"/>
        </w:rPr>
        <w:t>者（師、生）保護。</w:t>
      </w:r>
    </w:p>
    <w:p w:rsidR="00C863F1" w:rsidRDefault="00861BB9">
      <w:pPr>
        <w:pStyle w:val="3"/>
        <w:spacing w:line="450" w:lineRule="exact"/>
        <w:jc w:val="both"/>
      </w:pPr>
      <w:r>
        <w:rPr>
          <w:rFonts w:ascii="Times New Roman" w:hAnsi="Times New Roman"/>
          <w:color w:val="000000"/>
        </w:rPr>
        <w:t>（四</w:t>
      </w:r>
      <w:r>
        <w:rPr>
          <w:rFonts w:ascii="Times New Roman" w:eastAsia="新細明體" w:hAnsi="Times New Roman"/>
          <w:color w:val="000000"/>
        </w:rPr>
        <w:t>）</w:t>
      </w:r>
      <w:r>
        <w:rPr>
          <w:rFonts w:ascii="Times New Roman" w:hAnsi="Times New Roman"/>
          <w:color w:val="000000"/>
        </w:rPr>
        <w:t>彙整</w:t>
      </w:r>
      <w:r>
        <w:rPr>
          <w:rFonts w:ascii="Times New Roman" w:hAnsi="Times New Roman"/>
          <w:kern w:val="0"/>
          <w:lang w:val="zh-TW"/>
        </w:rPr>
        <w:t>分析學校所送藥物濫用購</w:t>
      </w:r>
      <w:proofErr w:type="gramStart"/>
      <w:r>
        <w:rPr>
          <w:rFonts w:ascii="Times New Roman" w:hAnsi="Times New Roman"/>
          <w:kern w:val="0"/>
          <w:lang w:val="zh-TW"/>
        </w:rPr>
        <w:t>毒情資</w:t>
      </w:r>
      <w:proofErr w:type="gramEnd"/>
      <w:r>
        <w:rPr>
          <w:rFonts w:ascii="Times New Roman" w:hAnsi="Times New Roman"/>
          <w:kern w:val="0"/>
          <w:lang w:val="zh-TW"/>
        </w:rPr>
        <w:t>，以及警方</w:t>
      </w:r>
      <w:proofErr w:type="gramStart"/>
      <w:r>
        <w:rPr>
          <w:rFonts w:ascii="Times New Roman" w:hAnsi="Times New Roman"/>
          <w:kern w:val="0"/>
          <w:lang w:val="zh-TW"/>
        </w:rPr>
        <w:t>查獲涉毒偏差</w:t>
      </w:r>
      <w:proofErr w:type="gramEnd"/>
      <w:r>
        <w:rPr>
          <w:rFonts w:ascii="Times New Roman" w:hAnsi="Times New Roman"/>
          <w:kern w:val="0"/>
          <w:lang w:val="zh-TW"/>
        </w:rPr>
        <w:t>行為通知書之查獲地點，擬訂校外</w:t>
      </w:r>
      <w:proofErr w:type="gramStart"/>
      <w:r>
        <w:rPr>
          <w:rFonts w:ascii="Times New Roman" w:hAnsi="Times New Roman"/>
          <w:kern w:val="0"/>
          <w:lang w:val="zh-TW"/>
        </w:rPr>
        <w:t>聯巡</w:t>
      </w:r>
      <w:r>
        <w:rPr>
          <w:rFonts w:ascii="Times New Roman" w:hAnsi="Times New Roman"/>
          <w:color w:val="000000"/>
        </w:rPr>
        <w:t>熱區</w:t>
      </w:r>
      <w:proofErr w:type="gramEnd"/>
      <w:r>
        <w:rPr>
          <w:rFonts w:ascii="Times New Roman" w:hAnsi="Times New Roman"/>
          <w:color w:val="000000"/>
        </w:rPr>
        <w:t>及時間，並協調或配合警政單位實施。</w:t>
      </w:r>
    </w:p>
    <w:p w:rsidR="00C863F1" w:rsidRDefault="00861BB9">
      <w:pPr>
        <w:pStyle w:val="2"/>
        <w:spacing w:line="450" w:lineRule="exact"/>
        <w:jc w:val="both"/>
      </w:pPr>
      <w:r>
        <w:rPr>
          <w:rFonts w:ascii="Times New Roman" w:hAnsi="Times New Roman" w:cs="Times New Roman"/>
        </w:rPr>
        <w:t>二、學籍查驗：指派專人負責警政、社政提供</w:t>
      </w:r>
      <w:proofErr w:type="gramStart"/>
      <w:r>
        <w:rPr>
          <w:rFonts w:ascii="Times New Roman" w:hAnsi="Times New Roman" w:cs="Times New Roman"/>
        </w:rPr>
        <w:t>之涉毒事件</w:t>
      </w:r>
      <w:proofErr w:type="gramEnd"/>
      <w:r>
        <w:rPr>
          <w:rFonts w:ascii="Times New Roman" w:hAnsi="Times New Roman" w:cs="Times New Roman"/>
        </w:rPr>
        <w:t>學籍查證作業。</w:t>
      </w:r>
    </w:p>
    <w:p w:rsidR="00C863F1" w:rsidRDefault="00861BB9">
      <w:pPr>
        <w:pStyle w:val="1"/>
        <w:spacing w:before="108" w:after="0" w:line="450" w:lineRule="exact"/>
      </w:pPr>
      <w:r>
        <w:rPr>
          <w:rFonts w:ascii="Times New Roman" w:hAnsi="Times New Roman" w:cs="Times New Roman"/>
          <w:b/>
        </w:rPr>
        <w:t>參、督導考核（教育部、國教署）</w:t>
      </w:r>
    </w:p>
    <w:p w:rsidR="00C863F1" w:rsidRDefault="00861BB9">
      <w:pPr>
        <w:pStyle w:val="2"/>
        <w:spacing w:line="450" w:lineRule="exact"/>
        <w:jc w:val="both"/>
      </w:pPr>
      <w:r>
        <w:rPr>
          <w:rFonts w:ascii="Times New Roman" w:hAnsi="Times New Roman" w:cs="Times New Roman"/>
        </w:rPr>
        <w:t>一、邀請重點學校校長到部專案報告，或由本部及</w:t>
      </w:r>
      <w:proofErr w:type="gramStart"/>
      <w:r>
        <w:rPr>
          <w:rFonts w:ascii="Times New Roman" w:hAnsi="Times New Roman" w:cs="Times New Roman"/>
        </w:rPr>
        <w:t>國教署組訪</w:t>
      </w:r>
      <w:proofErr w:type="gramEnd"/>
      <w:r>
        <w:rPr>
          <w:rFonts w:ascii="Times New Roman" w:hAnsi="Times New Roman" w:cs="Times New Roman"/>
        </w:rPr>
        <w:t>視小組到校訪視。</w:t>
      </w:r>
    </w:p>
    <w:p w:rsidR="00C863F1" w:rsidRDefault="00861BB9">
      <w:pPr>
        <w:pStyle w:val="2"/>
        <w:spacing w:line="450" w:lineRule="exact"/>
      </w:pPr>
      <w:r>
        <w:rPr>
          <w:rFonts w:ascii="Times New Roman" w:hAnsi="Times New Roman" w:cs="Times New Roman"/>
        </w:rPr>
        <w:t>二、國教署定期召開個案控管會議，了解學校個案輔導情形。</w:t>
      </w:r>
    </w:p>
    <w:p w:rsidR="00C863F1" w:rsidRDefault="00861BB9">
      <w:pPr>
        <w:pStyle w:val="1"/>
        <w:spacing w:before="108" w:after="108" w:line="450" w:lineRule="exact"/>
      </w:pPr>
      <w:r>
        <w:rPr>
          <w:rFonts w:ascii="Times New Roman" w:hAnsi="Times New Roman" w:cs="Times New Roman"/>
          <w:b/>
        </w:rPr>
        <w:t>肆、獎懲規定</w:t>
      </w:r>
    </w:p>
    <w:p w:rsidR="00C863F1" w:rsidRDefault="00861BB9">
      <w:pPr>
        <w:pStyle w:val="2"/>
        <w:spacing w:line="450" w:lineRule="exact"/>
        <w:jc w:val="both"/>
      </w:pPr>
      <w:r>
        <w:rPr>
          <w:rFonts w:ascii="Times New Roman" w:hAnsi="Times New Roman" w:cs="Times New Roman"/>
        </w:rPr>
        <w:t>一、修正教育部「『防制學生藥物濫用』績優教育單位評選及表揚實施計畫」評選指標，提高特定人員自行清查、通報與輔導之分數配比。</w:t>
      </w:r>
    </w:p>
    <w:p w:rsidR="00C863F1" w:rsidRDefault="00861BB9">
      <w:pPr>
        <w:pStyle w:val="2"/>
        <w:spacing w:line="450" w:lineRule="exact"/>
        <w:jc w:val="both"/>
      </w:pPr>
      <w:r>
        <w:rPr>
          <w:rFonts w:ascii="Times New Roman" w:hAnsi="Times New Roman" w:cs="Times New Roman"/>
        </w:rPr>
        <w:t>二、修正「教育單位協助檢警緝毒溯源通報作業要點」之獎勵對象，</w:t>
      </w:r>
      <w:proofErr w:type="gramStart"/>
      <w:r>
        <w:rPr>
          <w:rFonts w:ascii="Times New Roman" w:hAnsi="Times New Roman" w:cs="Times New Roman"/>
        </w:rPr>
        <w:t>增列緝毒</w:t>
      </w:r>
      <w:proofErr w:type="gramEnd"/>
      <w:r>
        <w:rPr>
          <w:rFonts w:ascii="Times New Roman" w:hAnsi="Times New Roman" w:cs="Times New Roman"/>
        </w:rPr>
        <w:t>通報有功學校及校長，於大型會議中頒獎。</w:t>
      </w:r>
    </w:p>
    <w:p w:rsidR="00C863F1" w:rsidRDefault="00861BB9">
      <w:pPr>
        <w:pStyle w:val="2"/>
        <w:spacing w:line="450" w:lineRule="exact"/>
        <w:jc w:val="both"/>
      </w:pPr>
      <w:r>
        <w:rPr>
          <w:rFonts w:ascii="Times New Roman" w:hAnsi="Times New Roman" w:cs="Times New Roman"/>
        </w:rPr>
        <w:t>三、</w:t>
      </w:r>
      <w:proofErr w:type="gramStart"/>
      <w:r>
        <w:rPr>
          <w:rFonts w:ascii="Times New Roman" w:hAnsi="Times New Roman" w:cs="Times New Roman"/>
        </w:rPr>
        <w:t>研</w:t>
      </w:r>
      <w:proofErr w:type="gramEnd"/>
      <w:r>
        <w:rPr>
          <w:rFonts w:ascii="Times New Roman" w:hAnsi="Times New Roman" w:cs="Times New Roman"/>
        </w:rPr>
        <w:t>議修正「</w:t>
      </w:r>
      <w:r>
        <w:rPr>
          <w:rFonts w:ascii="Times New Roman" w:hAnsi="Times New Roman" w:cs="Times New Roman"/>
          <w:bCs/>
        </w:rPr>
        <w:t>公立高級中等以下學校校長成績考核辦法</w:t>
      </w:r>
      <w:r>
        <w:rPr>
          <w:rFonts w:ascii="Times New Roman" w:hAnsi="Times New Roman" w:cs="Times New Roman"/>
        </w:rPr>
        <w:t>」第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條，</w:t>
      </w:r>
      <w:r>
        <w:rPr>
          <w:rFonts w:ascii="Times New Roman" w:hAnsi="Times New Roman" w:cs="Times New Roman"/>
          <w:bCs/>
        </w:rPr>
        <w:t>增列「隱匿藥物濫用個案通報或要求藥物濫用個案學生轉、休、退學，經查證屬實者，不得考列甲等。」</w:t>
      </w:r>
    </w:p>
    <w:p w:rsidR="00C863F1" w:rsidRDefault="00861BB9">
      <w:pPr>
        <w:pStyle w:val="2"/>
        <w:spacing w:line="450" w:lineRule="exact"/>
      </w:pPr>
      <w:r>
        <w:rPr>
          <w:rFonts w:ascii="Times New Roman" w:hAnsi="Times New Roman" w:cs="Times New Roman"/>
        </w:rPr>
        <w:t>四、違反「</w:t>
      </w:r>
      <w:hyperlink r:id="rId8" w:history="1">
        <w:r>
          <w:rPr>
            <w:rFonts w:ascii="Times New Roman" w:hAnsi="Times New Roman" w:cs="Times New Roman"/>
          </w:rPr>
          <w:t>兒童及少年福利與權益保障法</w:t>
        </w:r>
      </w:hyperlink>
      <w:r>
        <w:rPr>
          <w:rFonts w:ascii="Times New Roman" w:hAnsi="Times New Roman" w:cs="Times New Roman"/>
        </w:rPr>
        <w:t>」第</w:t>
      </w:r>
      <w:r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條之通報規定，除依同法第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條處罰鍰外，並</w:t>
      </w:r>
      <w:r>
        <w:rPr>
          <w:rFonts w:ascii="Times New Roman" w:hAnsi="Times New Roman" w:cs="Times New Roman"/>
          <w:b/>
          <w:u w:val="single"/>
        </w:rPr>
        <w:t>視情節公布</w:t>
      </w:r>
      <w:r>
        <w:rPr>
          <w:rFonts w:ascii="Times New Roman" w:hAnsi="Times New Roman" w:cs="Times New Roman"/>
          <w:b/>
          <w:u w:val="single"/>
        </w:rPr>
        <w:t>學校名單</w:t>
      </w:r>
      <w:r>
        <w:rPr>
          <w:rFonts w:ascii="Times New Roman" w:hAnsi="Times New Roman" w:cs="Times New Roman"/>
        </w:rPr>
        <w:t>。</w:t>
      </w:r>
    </w:p>
    <w:p w:rsidR="00C863F1" w:rsidRDefault="00861BB9">
      <w:pPr>
        <w:pStyle w:val="2"/>
        <w:spacing w:line="450" w:lineRule="exact"/>
        <w:jc w:val="both"/>
      </w:pPr>
      <w:r>
        <w:rPr>
          <w:rFonts w:ascii="Times New Roman" w:hAnsi="Times New Roman" w:cs="Times New Roman"/>
        </w:rPr>
        <w:t>五、拒毒人員未依規定辦理反毒宣導或特定人員尿篩</w:t>
      </w:r>
      <w:proofErr w:type="gramStart"/>
      <w:r>
        <w:rPr>
          <w:rFonts w:ascii="Times New Roman" w:hAnsi="Times New Roman" w:cs="Times New Roman"/>
        </w:rPr>
        <w:t>採</w:t>
      </w:r>
      <w:proofErr w:type="gramEnd"/>
      <w:r>
        <w:rPr>
          <w:rFonts w:ascii="Times New Roman" w:hAnsi="Times New Roman" w:cs="Times New Roman"/>
        </w:rPr>
        <w:t>驗工作者，依</w:t>
      </w:r>
      <w:r>
        <w:rPr>
          <w:rFonts w:ascii="Times New Roman" w:eastAsia="新細明體" w:hAnsi="Times New Roman" w:cs="Times New Roman"/>
        </w:rPr>
        <w:t>「</w:t>
      </w:r>
      <w:hyperlink r:id="rId9" w:history="1">
        <w:r>
          <w:rPr>
            <w:rFonts w:ascii="Times New Roman" w:hAnsi="Times New Roman" w:cs="Times New Roman"/>
          </w:rPr>
          <w:t>防制毒品危害獎懲辦法</w:t>
        </w:r>
      </w:hyperlink>
      <w:r>
        <w:rPr>
          <w:rFonts w:ascii="Times New Roman" w:eastAsia="新細明體" w:hAnsi="Times New Roman" w:cs="Times New Roman"/>
        </w:rPr>
        <w:t>」</w:t>
      </w:r>
      <w:hyperlink r:id="rId10" w:history="1">
        <w:r>
          <w:rPr>
            <w:rFonts w:ascii="Times New Roman" w:hAnsi="Times New Roman" w:cs="Times New Roman"/>
          </w:rPr>
          <w:t>第</w:t>
        </w:r>
        <w:r>
          <w:rPr>
            <w:rFonts w:ascii="Times New Roman" w:hAnsi="Times New Roman" w:cs="Times New Roman"/>
          </w:rPr>
          <w:t>14</w:t>
        </w:r>
        <w:r>
          <w:rPr>
            <w:rFonts w:ascii="Times New Roman" w:hAnsi="Times New Roman" w:cs="Times New Roman"/>
          </w:rPr>
          <w:t>條</w:t>
        </w:r>
      </w:hyperlink>
      <w:r>
        <w:rPr>
          <w:rFonts w:ascii="Times New Roman" w:hAnsi="Times New Roman" w:cs="Times New Roman"/>
        </w:rPr>
        <w:t>懲處，並查究監督不</w:t>
      </w:r>
      <w:proofErr w:type="gramStart"/>
      <w:r>
        <w:rPr>
          <w:rFonts w:ascii="Times New Roman" w:hAnsi="Times New Roman" w:cs="Times New Roman"/>
        </w:rPr>
        <w:t>週</w:t>
      </w:r>
      <w:proofErr w:type="gramEnd"/>
      <w:r>
        <w:rPr>
          <w:rFonts w:ascii="Times New Roman" w:hAnsi="Times New Roman" w:cs="Times New Roman"/>
        </w:rPr>
        <w:t>人員責任。</w:t>
      </w:r>
    </w:p>
    <w:p w:rsidR="00C863F1" w:rsidRDefault="00861BB9">
      <w:pPr>
        <w:pStyle w:val="Standard"/>
        <w:pageBreakBefore/>
        <w:spacing w:line="450" w:lineRule="exact"/>
        <w:ind w:left="560" w:hanging="560"/>
      </w:pPr>
      <w:r>
        <w:rPr>
          <w:rFonts w:ascii="Times New Roman" w:eastAsia="標楷體" w:hAnsi="Times New Roman" w:cs="Times New Roman"/>
          <w:sz w:val="28"/>
          <w:szCs w:val="28"/>
        </w:rPr>
        <w:lastRenderedPageBreak/>
        <w:t>附件</w:t>
      </w:r>
    </w:p>
    <w:p w:rsidR="00C863F1" w:rsidRDefault="00861BB9">
      <w:pPr>
        <w:pStyle w:val="Default"/>
        <w:spacing w:line="450" w:lineRule="exact"/>
        <w:ind w:left="640" w:hanging="640"/>
        <w:jc w:val="center"/>
      </w:pPr>
      <w:r>
        <w:rPr>
          <w:rFonts w:ascii="Times New Roman" w:hAnsi="Times New Roman" w:cs="Times New Roman"/>
          <w:sz w:val="32"/>
          <w:szCs w:val="32"/>
        </w:rPr>
        <w:t>特定人員事實認定觀察建議原則</w:t>
      </w:r>
    </w:p>
    <w:p w:rsidR="00C863F1" w:rsidRDefault="00861BB9">
      <w:pPr>
        <w:pStyle w:val="Standard"/>
        <w:spacing w:line="450" w:lineRule="exact"/>
        <w:ind w:left="560" w:hanging="560"/>
        <w:jc w:val="righ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108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日修訂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一、行為樣態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（一）曾遭警方查獲進出不當場所者。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（二）經常深夜逗留不當場所或深夜在外遊蕩者。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（三）長期缺</w:t>
      </w:r>
      <w:proofErr w:type="gramStart"/>
      <w:r>
        <w:rPr>
          <w:rFonts w:ascii="Times New Roman" w:hAnsi="Times New Roman" w:cs="Times New Roman"/>
          <w:sz w:val="28"/>
          <w:szCs w:val="28"/>
        </w:rPr>
        <w:t>曠</w:t>
      </w:r>
      <w:proofErr w:type="gramEnd"/>
      <w:r>
        <w:rPr>
          <w:rFonts w:ascii="Times New Roman" w:hAnsi="Times New Roman" w:cs="Times New Roman"/>
          <w:sz w:val="28"/>
          <w:szCs w:val="28"/>
        </w:rPr>
        <w:t>或無原因經常缺曠課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日以上者。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（四）與藥物濫用人員交往密切者。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（五）發現攜帶不明粉末、藥丸、疑似吸食用具</w:t>
      </w:r>
      <w:proofErr w:type="gramStart"/>
      <w:r>
        <w:rPr>
          <w:rFonts w:ascii="Times New Roman" w:hAnsi="Times New Roman" w:cs="Times New Roman"/>
          <w:sz w:val="28"/>
          <w:szCs w:val="28"/>
        </w:rPr>
        <w:t>到校者</w:t>
      </w:r>
      <w:proofErr w:type="gramEnd"/>
      <w:r>
        <w:rPr>
          <w:rFonts w:ascii="Times New Roman" w:hAnsi="Times New Roman" w:cs="Times New Roman"/>
          <w:sz w:val="28"/>
          <w:szCs w:val="28"/>
        </w:rPr>
        <w:t>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（六）有吸菸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或施用電子煙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、喝酒、吃檳榔習慣者。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（七）參加不良組織或不良藝陣活動者。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（八）</w:t>
      </w:r>
      <w:proofErr w:type="gramStart"/>
      <w:r>
        <w:rPr>
          <w:rFonts w:ascii="Times New Roman" w:hAnsi="Times New Roman" w:cs="Times New Roman"/>
          <w:sz w:val="28"/>
          <w:szCs w:val="28"/>
        </w:rPr>
        <w:t>經常性翹家</w:t>
      </w:r>
      <w:proofErr w:type="gramEnd"/>
      <w:r>
        <w:rPr>
          <w:rFonts w:ascii="Times New Roman" w:hAnsi="Times New Roman" w:cs="Times New Roman"/>
          <w:sz w:val="28"/>
          <w:szCs w:val="28"/>
        </w:rPr>
        <w:t>者。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（九）常在校內、</w:t>
      </w:r>
      <w:proofErr w:type="gramStart"/>
      <w:r>
        <w:rPr>
          <w:rFonts w:ascii="Times New Roman" w:hAnsi="Times New Roman" w:cs="Times New Roman"/>
          <w:sz w:val="28"/>
          <w:szCs w:val="28"/>
        </w:rPr>
        <w:t>外糾眾</w:t>
      </w:r>
      <w:proofErr w:type="gramEnd"/>
      <w:r>
        <w:rPr>
          <w:rFonts w:ascii="Times New Roman" w:hAnsi="Times New Roman" w:cs="Times New Roman"/>
          <w:sz w:val="28"/>
          <w:szCs w:val="28"/>
        </w:rPr>
        <w:t>鬧事或圍事、不服管教者。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（十）金錢使用習慣劇變者。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（十一）校外交友複雜者。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（十二）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經「藥物濫用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毒品使用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篩檢量表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」篩檢出高風險者</w:t>
      </w:r>
      <w:r>
        <w:rPr>
          <w:rFonts w:ascii="Times New Roman" w:hAnsi="Times New Roman" w:cs="Times New Roman"/>
          <w:sz w:val="28"/>
          <w:szCs w:val="28"/>
        </w:rPr>
        <w:t>。</w:t>
      </w:r>
    </w:p>
    <w:p w:rsidR="00C863F1" w:rsidRDefault="00861BB9">
      <w:pPr>
        <w:pStyle w:val="Default"/>
        <w:spacing w:before="180"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二、事項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（一）父、母親或主要照顧者有藥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毒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癮</w:t>
      </w:r>
      <w:proofErr w:type="gramEnd"/>
      <w:r>
        <w:rPr>
          <w:rFonts w:ascii="Times New Roman" w:hAnsi="Times New Roman" w:cs="Times New Roman"/>
          <w:sz w:val="28"/>
          <w:szCs w:val="28"/>
        </w:rPr>
        <w:t>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（二）兄弟姊妹有藥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毒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癮</w:t>
      </w:r>
      <w:proofErr w:type="gramEnd"/>
      <w:r>
        <w:rPr>
          <w:rFonts w:ascii="Times New Roman" w:hAnsi="Times New Roman" w:cs="Times New Roman"/>
          <w:sz w:val="28"/>
          <w:szCs w:val="28"/>
        </w:rPr>
        <w:t>。</w:t>
      </w:r>
    </w:p>
    <w:p w:rsidR="00C863F1" w:rsidRDefault="00861BB9">
      <w:pPr>
        <w:pStyle w:val="Default"/>
        <w:spacing w:line="450" w:lineRule="exact"/>
        <w:ind w:left="560" w:hanging="560"/>
      </w:pPr>
      <w:r>
        <w:rPr>
          <w:rFonts w:ascii="Times New Roman" w:hAnsi="Times New Roman" w:cs="Times New Roman"/>
          <w:sz w:val="28"/>
          <w:szCs w:val="28"/>
        </w:rPr>
        <w:t>（三）家庭成員關係紊亂、功能不佳或支持系統薄弱。</w:t>
      </w:r>
    </w:p>
    <w:sectPr w:rsidR="00C863F1">
      <w:footerReference w:type="default" r:id="rId11"/>
      <w:pgSz w:w="11906" w:h="16838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B9" w:rsidRDefault="00861BB9">
      <w:r>
        <w:separator/>
      </w:r>
    </w:p>
  </w:endnote>
  <w:endnote w:type="continuationSeparator" w:id="0">
    <w:p w:rsidR="00861BB9" w:rsidRDefault="0086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5FD" w:rsidRDefault="00861BB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765A3D">
      <w:rPr>
        <w:noProof/>
      </w:rPr>
      <w:t>3</w:t>
    </w:r>
    <w:r>
      <w:fldChar w:fldCharType="end"/>
    </w:r>
  </w:p>
  <w:p w:rsidR="005645FD" w:rsidRDefault="00861B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B9" w:rsidRDefault="00861BB9">
      <w:r>
        <w:rPr>
          <w:color w:val="000000"/>
        </w:rPr>
        <w:separator/>
      </w:r>
    </w:p>
  </w:footnote>
  <w:footnote w:type="continuationSeparator" w:id="0">
    <w:p w:rsidR="00861BB9" w:rsidRDefault="00861BB9">
      <w:r>
        <w:continuationSeparator/>
      </w:r>
    </w:p>
  </w:footnote>
  <w:footnote w:id="1">
    <w:p w:rsidR="00C863F1" w:rsidRDefault="00861BB9">
      <w:pPr>
        <w:pStyle w:val="Default"/>
        <w:ind w:left="120" w:hanging="120"/>
        <w:jc w:val="both"/>
      </w:pPr>
      <w:r>
        <w:rPr>
          <w:rStyle w:val="af5"/>
        </w:rPr>
        <w:footnoteRef/>
      </w:r>
      <w:r>
        <w:rPr>
          <w:rFonts w:ascii="Times New Roman" w:hAnsi="Times New Roman"/>
        </w:rPr>
        <w:t>國教署刻正委請專家學者協助開發高中職</w:t>
      </w:r>
      <w:r>
        <w:rPr>
          <w:rFonts w:ascii="新細明體" w:hAnsi="新細明體"/>
        </w:rPr>
        <w:t>「</w:t>
      </w:r>
      <w:r>
        <w:rPr>
          <w:rFonts w:ascii="Times New Roman" w:hAnsi="Times New Roman"/>
        </w:rPr>
        <w:t>藥物濫用高風險</w:t>
      </w:r>
      <w:proofErr w:type="gramStart"/>
      <w:r>
        <w:rPr>
          <w:rFonts w:ascii="Times New Roman" w:hAnsi="Times New Roman"/>
        </w:rPr>
        <w:t>篩檢量表</w:t>
      </w:r>
      <w:proofErr w:type="gramEnd"/>
      <w:r>
        <w:rPr>
          <w:rFonts w:ascii="新細明體" w:hAnsi="新細明體"/>
        </w:rPr>
        <w:t>」，</w:t>
      </w:r>
      <w:r>
        <w:rPr>
          <w:rFonts w:ascii="Times New Roman" w:hAnsi="Times New Roman" w:cs="Times New Roman"/>
        </w:rPr>
        <w:t>預定於</w:t>
      </w:r>
      <w:r>
        <w:rPr>
          <w:rFonts w:ascii="Times New Roman" w:hAnsi="Times New Roman" w:cs="Times New Roman"/>
        </w:rPr>
        <w:t>108</w:t>
      </w:r>
      <w:r>
        <w:rPr>
          <w:rFonts w:ascii="新細明體" w:hAnsi="新細明體"/>
        </w:rPr>
        <w:t>年底前完成。另經「藥物濫用</w:t>
      </w:r>
      <w:r>
        <w:rPr>
          <w:rFonts w:ascii="新細明體" w:hAnsi="新細明體"/>
        </w:rPr>
        <w:t>(</w:t>
      </w:r>
      <w:r>
        <w:rPr>
          <w:rFonts w:ascii="新細明體" w:hAnsi="新細明體"/>
        </w:rPr>
        <w:t>毒品使用</w:t>
      </w:r>
      <w:r>
        <w:rPr>
          <w:rFonts w:ascii="新細明體" w:hAnsi="新細明體"/>
        </w:rPr>
        <w:t>)</w:t>
      </w:r>
      <w:proofErr w:type="gramStart"/>
      <w:r>
        <w:rPr>
          <w:rFonts w:ascii="新細明體" w:hAnsi="新細明體"/>
        </w:rPr>
        <w:t>篩檢量表</w:t>
      </w:r>
      <w:proofErr w:type="gramEnd"/>
      <w:r>
        <w:rPr>
          <w:rFonts w:ascii="新細明體" w:hAnsi="新細明體"/>
        </w:rPr>
        <w:t>」篩檢出高風險者，已納入特定人員事實認定觀察原則中。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346"/>
    <w:multiLevelType w:val="multilevel"/>
    <w:tmpl w:val="F2FEC4AE"/>
    <w:styleLink w:val="WWNum3"/>
    <w:lvl w:ilvl="0">
      <w:numFmt w:val="bullet"/>
      <w:lvlText w:val=""/>
      <w:lvlJc w:val="left"/>
    </w:lvl>
    <w:lvl w:ilvl="1">
      <w:numFmt w:val="bullet"/>
      <w:lvlText w:val=""/>
      <w:lvlJc w:val="left"/>
    </w:lvl>
    <w:lvl w:ilvl="2">
      <w:numFmt w:val="bullet"/>
      <w:lvlText w:val=""/>
      <w:lvlJc w:val="left"/>
    </w:lvl>
    <w:lvl w:ilvl="3">
      <w:numFmt w:val="bullet"/>
      <w:lvlText w:val=""/>
      <w:lvlJc w:val="left"/>
    </w:lvl>
    <w:lvl w:ilvl="4">
      <w:numFmt w:val="bullet"/>
      <w:lvlText w:val=""/>
      <w:lvlJc w:val="left"/>
    </w:lvl>
    <w:lvl w:ilvl="5">
      <w:numFmt w:val="bullet"/>
      <w:lvlText w:val=""/>
      <w:lvlJc w:val="left"/>
    </w:lvl>
    <w:lvl w:ilvl="6">
      <w:numFmt w:val="bullet"/>
      <w:lvlText w:val=""/>
      <w:lvlJc w:val="left"/>
    </w:lvl>
    <w:lvl w:ilvl="7">
      <w:numFmt w:val="bullet"/>
      <w:lvlText w:val=""/>
      <w:lvlJc w:val="left"/>
    </w:lvl>
    <w:lvl w:ilvl="8">
      <w:numFmt w:val="bullet"/>
      <w:lvlText w:val=""/>
      <w:lvlJc w:val="left"/>
    </w:lvl>
  </w:abstractNum>
  <w:abstractNum w:abstractNumId="1">
    <w:nsid w:val="18B50672"/>
    <w:multiLevelType w:val="multilevel"/>
    <w:tmpl w:val="FDB6C346"/>
    <w:styleLink w:val="WWNum5"/>
    <w:lvl w:ilvl="0">
      <w:numFmt w:val="bullet"/>
      <w:lvlText w:val=""/>
      <w:lvlJc w:val="left"/>
    </w:lvl>
    <w:lvl w:ilvl="1">
      <w:numFmt w:val="bullet"/>
      <w:lvlText w:val=""/>
      <w:lvlJc w:val="left"/>
    </w:lvl>
    <w:lvl w:ilvl="2">
      <w:numFmt w:val="bullet"/>
      <w:lvlText w:val=""/>
      <w:lvlJc w:val="left"/>
    </w:lvl>
    <w:lvl w:ilvl="3">
      <w:numFmt w:val="bullet"/>
      <w:lvlText w:val=""/>
      <w:lvlJc w:val="left"/>
    </w:lvl>
    <w:lvl w:ilvl="4">
      <w:numFmt w:val="bullet"/>
      <w:lvlText w:val=""/>
      <w:lvlJc w:val="left"/>
    </w:lvl>
    <w:lvl w:ilvl="5">
      <w:numFmt w:val="bullet"/>
      <w:lvlText w:val=""/>
      <w:lvlJc w:val="left"/>
    </w:lvl>
    <w:lvl w:ilvl="6">
      <w:numFmt w:val="bullet"/>
      <w:lvlText w:val=""/>
      <w:lvlJc w:val="left"/>
    </w:lvl>
    <w:lvl w:ilvl="7">
      <w:numFmt w:val="bullet"/>
      <w:lvlText w:val=""/>
      <w:lvlJc w:val="left"/>
    </w:lvl>
    <w:lvl w:ilvl="8">
      <w:numFmt w:val="bullet"/>
      <w:lvlText w:val=""/>
      <w:lvlJc w:val="left"/>
    </w:lvl>
  </w:abstractNum>
  <w:abstractNum w:abstractNumId="2">
    <w:nsid w:val="21FB5C74"/>
    <w:multiLevelType w:val="multilevel"/>
    <w:tmpl w:val="2C4603BE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522A6082"/>
    <w:multiLevelType w:val="multilevel"/>
    <w:tmpl w:val="32EE387A"/>
    <w:styleLink w:val="WWNum2"/>
    <w:lvl w:ilvl="0">
      <w:numFmt w:val="bullet"/>
      <w:lvlText w:val=""/>
      <w:lvlJc w:val="left"/>
    </w:lvl>
    <w:lvl w:ilvl="1">
      <w:numFmt w:val="bullet"/>
      <w:lvlText w:val=""/>
      <w:lvlJc w:val="left"/>
    </w:lvl>
    <w:lvl w:ilvl="2">
      <w:numFmt w:val="bullet"/>
      <w:lvlText w:val=""/>
      <w:lvlJc w:val="left"/>
    </w:lvl>
    <w:lvl w:ilvl="3">
      <w:numFmt w:val="bullet"/>
      <w:lvlText w:val=""/>
      <w:lvlJc w:val="left"/>
    </w:lvl>
    <w:lvl w:ilvl="4">
      <w:numFmt w:val="bullet"/>
      <w:lvlText w:val=""/>
      <w:lvlJc w:val="left"/>
    </w:lvl>
    <w:lvl w:ilvl="5">
      <w:numFmt w:val="bullet"/>
      <w:lvlText w:val=""/>
      <w:lvlJc w:val="left"/>
    </w:lvl>
    <w:lvl w:ilvl="6">
      <w:numFmt w:val="bullet"/>
      <w:lvlText w:val=""/>
      <w:lvlJc w:val="left"/>
    </w:lvl>
    <w:lvl w:ilvl="7">
      <w:numFmt w:val="bullet"/>
      <w:lvlText w:val=""/>
      <w:lvlJc w:val="left"/>
    </w:lvl>
    <w:lvl w:ilvl="8">
      <w:numFmt w:val="bullet"/>
      <w:lvlText w:val=""/>
      <w:lvlJc w:val="left"/>
    </w:lvl>
  </w:abstractNum>
  <w:abstractNum w:abstractNumId="4">
    <w:nsid w:val="686D5BBC"/>
    <w:multiLevelType w:val="multilevel"/>
    <w:tmpl w:val="0A024B18"/>
    <w:styleLink w:val="WWNum4"/>
    <w:lvl w:ilvl="0">
      <w:numFmt w:val="bullet"/>
      <w:lvlText w:val=""/>
      <w:lvlJc w:val="left"/>
    </w:lvl>
    <w:lvl w:ilvl="1">
      <w:numFmt w:val="bullet"/>
      <w:lvlText w:val=""/>
      <w:lvlJc w:val="left"/>
    </w:lvl>
    <w:lvl w:ilvl="2">
      <w:numFmt w:val="bullet"/>
      <w:lvlText w:val=""/>
      <w:lvlJc w:val="left"/>
    </w:lvl>
    <w:lvl w:ilvl="3">
      <w:numFmt w:val="bullet"/>
      <w:lvlText w:val=""/>
      <w:lvlJc w:val="left"/>
    </w:lvl>
    <w:lvl w:ilvl="4">
      <w:numFmt w:val="bullet"/>
      <w:lvlText w:val=""/>
      <w:lvlJc w:val="left"/>
    </w:lvl>
    <w:lvl w:ilvl="5">
      <w:numFmt w:val="bullet"/>
      <w:lvlText w:val=""/>
      <w:lvlJc w:val="left"/>
    </w:lvl>
    <w:lvl w:ilvl="6">
      <w:numFmt w:val="bullet"/>
      <w:lvlText w:val=""/>
      <w:lvlJc w:val="left"/>
    </w:lvl>
    <w:lvl w:ilvl="7">
      <w:numFmt w:val="bullet"/>
      <w:lvlText w:val=""/>
      <w:lvlJc w:val="left"/>
    </w:lvl>
    <w:lvl w:ilvl="8">
      <w:numFmt w:val="bullet"/>
      <w:lvlText w:val=""/>
      <w:lvlJc w:val="left"/>
    </w:lvl>
  </w:abstractNum>
  <w:abstractNum w:abstractNumId="5">
    <w:nsid w:val="77D32B5F"/>
    <w:multiLevelType w:val="multilevel"/>
    <w:tmpl w:val="08FC1CD6"/>
    <w:styleLink w:val="WWNum1"/>
    <w:lvl w:ilvl="0">
      <w:numFmt w:val="bullet"/>
      <w:lvlText w:val=""/>
      <w:lvlJc w:val="left"/>
    </w:lvl>
    <w:lvl w:ilvl="1">
      <w:numFmt w:val="bullet"/>
      <w:lvlText w:val=""/>
      <w:lvlJc w:val="left"/>
    </w:lvl>
    <w:lvl w:ilvl="2">
      <w:numFmt w:val="bullet"/>
      <w:lvlText w:val=""/>
      <w:lvlJc w:val="left"/>
    </w:lvl>
    <w:lvl w:ilvl="3">
      <w:numFmt w:val="bullet"/>
      <w:lvlText w:val=""/>
      <w:lvlJc w:val="left"/>
    </w:lvl>
    <w:lvl w:ilvl="4">
      <w:numFmt w:val="bullet"/>
      <w:lvlText w:val=""/>
      <w:lvlJc w:val="left"/>
    </w:lvl>
    <w:lvl w:ilvl="5">
      <w:numFmt w:val="bullet"/>
      <w:lvlText w:val=""/>
      <w:lvlJc w:val="left"/>
    </w:lvl>
    <w:lvl w:ilvl="6">
      <w:numFmt w:val="bullet"/>
      <w:lvlText w:val=""/>
      <w:lvlJc w:val="left"/>
    </w:lvl>
    <w:lvl w:ilvl="7">
      <w:numFmt w:val="bullet"/>
      <w:lvlText w:val=""/>
      <w:lvlJc w:val="left"/>
    </w:lvl>
    <w:lvl w:ilvl="8">
      <w:numFmt w:val="bullet"/>
      <w:lvlText w:val="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63F1"/>
    <w:rsid w:val="00765A3D"/>
    <w:rsid w:val="00861BB9"/>
    <w:rsid w:val="00C8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樣式1"/>
    <w:basedOn w:val="Standard"/>
    <w:pPr>
      <w:spacing w:before="180" w:after="180" w:line="460" w:lineRule="exact"/>
    </w:pPr>
    <w:rPr>
      <w:rFonts w:ascii="標楷體" w:eastAsia="標楷體" w:hAnsi="標楷體"/>
      <w:sz w:val="32"/>
      <w:szCs w:val="32"/>
    </w:rPr>
  </w:style>
  <w:style w:type="paragraph" w:customStyle="1" w:styleId="2">
    <w:name w:val="樣式2"/>
    <w:basedOn w:val="Standard"/>
    <w:pPr>
      <w:spacing w:line="460" w:lineRule="exact"/>
      <w:ind w:left="800" w:hanging="560"/>
    </w:pPr>
    <w:rPr>
      <w:rFonts w:ascii="標楷體" w:eastAsia="標楷體" w:hAnsi="標楷體"/>
      <w:sz w:val="28"/>
      <w:szCs w:val="28"/>
    </w:rPr>
  </w:style>
  <w:style w:type="paragraph" w:customStyle="1" w:styleId="3">
    <w:name w:val="樣式3"/>
    <w:basedOn w:val="Standard"/>
    <w:pPr>
      <w:spacing w:line="460" w:lineRule="exact"/>
      <w:ind w:left="1080" w:hanging="840"/>
    </w:pPr>
    <w:rPr>
      <w:rFonts w:ascii="標楷體" w:eastAsia="標楷體" w:hAnsi="標楷體" w:cs="Times New Roman"/>
      <w:sz w:val="28"/>
      <w:szCs w:val="28"/>
    </w:rPr>
  </w:style>
  <w:style w:type="paragraph" w:customStyle="1" w:styleId="Default">
    <w:name w:val="Default"/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rPr>
      <w:b/>
      <w:bCs/>
    </w:rPr>
  </w:style>
  <w:style w:type="paragraph" w:styleId="a9">
    <w:name w:val="Balloon Text"/>
    <w:basedOn w:val="Standard"/>
    <w:rPr>
      <w:rFonts w:ascii="Calibri Light" w:hAnsi="Calibri Light"/>
      <w:sz w:val="18"/>
      <w:szCs w:val="18"/>
    </w:rPr>
  </w:style>
  <w:style w:type="paragraph" w:styleId="aa">
    <w:name w:val="endnote text"/>
    <w:basedOn w:val="Standard"/>
    <w:pPr>
      <w:snapToGrid w:val="0"/>
    </w:pPr>
  </w:style>
  <w:style w:type="paragraph" w:styleId="ab">
    <w:name w:val="footnote text"/>
    <w:basedOn w:val="Standard"/>
    <w:pPr>
      <w:snapToGrid w:val="0"/>
    </w:pPr>
    <w:rPr>
      <w:sz w:val="20"/>
      <w:szCs w:val="20"/>
    </w:rPr>
  </w:style>
  <w:style w:type="paragraph" w:customStyle="1" w:styleId="Footnote">
    <w:name w:val="Footnote"/>
    <w:basedOn w:val="Standard"/>
  </w:style>
  <w:style w:type="character" w:customStyle="1" w:styleId="ac">
    <w:name w:val="頁首 字元"/>
    <w:basedOn w:val="a0"/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  <w:style w:type="character" w:customStyle="1" w:styleId="10">
    <w:name w:val="樣式1 字元"/>
    <w:basedOn w:val="a0"/>
    <w:rPr>
      <w:rFonts w:ascii="標楷體" w:eastAsia="標楷體" w:hAnsi="標楷體"/>
      <w:sz w:val="32"/>
      <w:szCs w:val="32"/>
    </w:rPr>
  </w:style>
  <w:style w:type="character" w:customStyle="1" w:styleId="20">
    <w:name w:val="樣式2 字元"/>
    <w:basedOn w:val="a0"/>
    <w:rPr>
      <w:rFonts w:ascii="標楷體" w:eastAsia="標楷體" w:hAnsi="標楷體"/>
      <w:sz w:val="28"/>
      <w:szCs w:val="28"/>
    </w:rPr>
  </w:style>
  <w:style w:type="character" w:customStyle="1" w:styleId="30">
    <w:name w:val="樣式3 字元"/>
    <w:basedOn w:val="a0"/>
    <w:rPr>
      <w:rFonts w:ascii="標楷體" w:eastAsia="標楷體" w:hAnsi="標楷體" w:cs="Times New Roman"/>
      <w:sz w:val="28"/>
      <w:szCs w:val="28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af1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f2">
    <w:name w:val="章節附註文字 字元"/>
    <w:basedOn w:val="a0"/>
  </w:style>
  <w:style w:type="character" w:styleId="af3">
    <w:name w:val="endnote reference"/>
    <w:basedOn w:val="a0"/>
    <w:rPr>
      <w:position w:val="0"/>
      <w:vertAlign w:val="superscript"/>
    </w:rPr>
  </w:style>
  <w:style w:type="character" w:customStyle="1" w:styleId="af4">
    <w:name w:val="註腳文字 字元"/>
    <w:basedOn w:val="a0"/>
    <w:rPr>
      <w:sz w:val="20"/>
      <w:szCs w:val="20"/>
    </w:rPr>
  </w:style>
  <w:style w:type="character" w:styleId="af5">
    <w:name w:val="footnote reference"/>
    <w:basedOn w:val="a0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樣式1"/>
    <w:basedOn w:val="Standard"/>
    <w:pPr>
      <w:spacing w:before="180" w:after="180" w:line="460" w:lineRule="exact"/>
    </w:pPr>
    <w:rPr>
      <w:rFonts w:ascii="標楷體" w:eastAsia="標楷體" w:hAnsi="標楷體"/>
      <w:sz w:val="32"/>
      <w:szCs w:val="32"/>
    </w:rPr>
  </w:style>
  <w:style w:type="paragraph" w:customStyle="1" w:styleId="2">
    <w:name w:val="樣式2"/>
    <w:basedOn w:val="Standard"/>
    <w:pPr>
      <w:spacing w:line="460" w:lineRule="exact"/>
      <w:ind w:left="800" w:hanging="560"/>
    </w:pPr>
    <w:rPr>
      <w:rFonts w:ascii="標楷體" w:eastAsia="標楷體" w:hAnsi="標楷體"/>
      <w:sz w:val="28"/>
      <w:szCs w:val="28"/>
    </w:rPr>
  </w:style>
  <w:style w:type="paragraph" w:customStyle="1" w:styleId="3">
    <w:name w:val="樣式3"/>
    <w:basedOn w:val="Standard"/>
    <w:pPr>
      <w:spacing w:line="460" w:lineRule="exact"/>
      <w:ind w:left="1080" w:hanging="840"/>
    </w:pPr>
    <w:rPr>
      <w:rFonts w:ascii="標楷體" w:eastAsia="標楷體" w:hAnsi="標楷體" w:cs="Times New Roman"/>
      <w:sz w:val="28"/>
      <w:szCs w:val="28"/>
    </w:rPr>
  </w:style>
  <w:style w:type="paragraph" w:customStyle="1" w:styleId="Default">
    <w:name w:val="Default"/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rPr>
      <w:b/>
      <w:bCs/>
    </w:rPr>
  </w:style>
  <w:style w:type="paragraph" w:styleId="a9">
    <w:name w:val="Balloon Text"/>
    <w:basedOn w:val="Standard"/>
    <w:rPr>
      <w:rFonts w:ascii="Calibri Light" w:hAnsi="Calibri Light"/>
      <w:sz w:val="18"/>
      <w:szCs w:val="18"/>
    </w:rPr>
  </w:style>
  <w:style w:type="paragraph" w:styleId="aa">
    <w:name w:val="endnote text"/>
    <w:basedOn w:val="Standard"/>
    <w:pPr>
      <w:snapToGrid w:val="0"/>
    </w:pPr>
  </w:style>
  <w:style w:type="paragraph" w:styleId="ab">
    <w:name w:val="footnote text"/>
    <w:basedOn w:val="Standard"/>
    <w:pPr>
      <w:snapToGrid w:val="0"/>
    </w:pPr>
    <w:rPr>
      <w:sz w:val="20"/>
      <w:szCs w:val="20"/>
    </w:rPr>
  </w:style>
  <w:style w:type="paragraph" w:customStyle="1" w:styleId="Footnote">
    <w:name w:val="Footnote"/>
    <w:basedOn w:val="Standard"/>
  </w:style>
  <w:style w:type="character" w:customStyle="1" w:styleId="ac">
    <w:name w:val="頁首 字元"/>
    <w:basedOn w:val="a0"/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  <w:style w:type="character" w:customStyle="1" w:styleId="10">
    <w:name w:val="樣式1 字元"/>
    <w:basedOn w:val="a0"/>
    <w:rPr>
      <w:rFonts w:ascii="標楷體" w:eastAsia="標楷體" w:hAnsi="標楷體"/>
      <w:sz w:val="32"/>
      <w:szCs w:val="32"/>
    </w:rPr>
  </w:style>
  <w:style w:type="character" w:customStyle="1" w:styleId="20">
    <w:name w:val="樣式2 字元"/>
    <w:basedOn w:val="a0"/>
    <w:rPr>
      <w:rFonts w:ascii="標楷體" w:eastAsia="標楷體" w:hAnsi="標楷體"/>
      <w:sz w:val="28"/>
      <w:szCs w:val="28"/>
    </w:rPr>
  </w:style>
  <w:style w:type="character" w:customStyle="1" w:styleId="30">
    <w:name w:val="樣式3 字元"/>
    <w:basedOn w:val="a0"/>
    <w:rPr>
      <w:rFonts w:ascii="標楷體" w:eastAsia="標楷體" w:hAnsi="標楷體" w:cs="Times New Roman"/>
      <w:sz w:val="28"/>
      <w:szCs w:val="28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af1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f2">
    <w:name w:val="章節附註文字 字元"/>
    <w:basedOn w:val="a0"/>
  </w:style>
  <w:style w:type="character" w:styleId="af3">
    <w:name w:val="endnote reference"/>
    <w:basedOn w:val="a0"/>
    <w:rPr>
      <w:position w:val="0"/>
      <w:vertAlign w:val="superscript"/>
    </w:rPr>
  </w:style>
  <w:style w:type="character" w:customStyle="1" w:styleId="af4">
    <w:name w:val="註腳文字 字元"/>
    <w:basedOn w:val="a0"/>
    <w:rPr>
      <w:sz w:val="20"/>
      <w:szCs w:val="20"/>
    </w:rPr>
  </w:style>
  <w:style w:type="character" w:styleId="af5">
    <w:name w:val="footnote reference"/>
    <w:basedOn w:val="a0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D005000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aw.moj.gov.tw/LawClass/LawSingle.aspx?pcode=I0030020&amp;flno=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moj.gov.tw/LawClass/LawAll.aspx?pcode=I003002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高志璋</dc:creator>
  <cp:lastModifiedBy>fa80780</cp:lastModifiedBy>
  <cp:revision>1</cp:revision>
  <cp:lastPrinted>2019-05-01T00:53:00Z</cp:lastPrinted>
  <dcterms:created xsi:type="dcterms:W3CDTF">2019-05-01T00:47:00Z</dcterms:created>
  <dcterms:modified xsi:type="dcterms:W3CDTF">2019-05-14T01:09:00Z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