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8D" w:rsidRPr="005F188D" w:rsidRDefault="005F188D" w:rsidP="005F188D">
      <w:pPr>
        <w:widowControl/>
        <w:outlineLvl w:val="3"/>
        <w:rPr>
          <w:rFonts w:asciiTheme="minorEastAsia" w:hAnsiTheme="minorEastAsia" w:cs="Arial"/>
          <w:b/>
          <w:bCs/>
          <w:color w:val="323229"/>
          <w:kern w:val="0"/>
          <w:szCs w:val="24"/>
        </w:rPr>
      </w:pPr>
      <w:r w:rsidRPr="005F188D">
        <w:rPr>
          <w:rFonts w:asciiTheme="minorEastAsia" w:hAnsiTheme="minorEastAsia" w:cs="Arial"/>
          <w:b/>
          <w:bCs/>
          <w:color w:val="323229"/>
          <w:kern w:val="0"/>
          <w:szCs w:val="24"/>
        </w:rPr>
        <w:t xml:space="preserve">閱讀計畫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5F188D" w:rsidRPr="005F188D" w:rsidTr="005F188D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澎湖縣湖西鄉</w:t>
            </w:r>
            <w:proofErr w:type="gramStart"/>
            <w:r w:rsidRP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隘</w:t>
            </w:r>
            <w:proofErr w:type="gramEnd"/>
            <w:r w:rsidRP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門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國民小學10</w:t>
            </w:r>
            <w:r w:rsidR="0090251C" w:rsidRP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8"/>
                <w:szCs w:val="28"/>
              </w:rPr>
              <w:t>學年度閱讀計畫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壹、依據：</w:t>
            </w:r>
          </w:p>
          <w:p w:rsidR="0090251C" w:rsidRDefault="005F188D" w:rsidP="0090251C">
            <w:pPr>
              <w:pStyle w:val="a3"/>
              <w:ind w:leftChars="0" w:left="840"/>
              <w:rPr>
                <w:rFonts w:asciiTheme="minorEastAsia" w:hAnsiTheme="minorEastAsia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一、</w:t>
            </w:r>
            <w:r w:rsidR="0090251C" w:rsidRPr="00600E37">
              <w:rPr>
                <w:rFonts w:asciiTheme="minorEastAsia" w:hAnsiTheme="minorEastAsia" w:hint="eastAsia"/>
              </w:rPr>
              <w:t>實施本校</w:t>
            </w:r>
            <w:r w:rsidR="0090251C">
              <w:rPr>
                <w:rFonts w:asciiTheme="minorEastAsia" w:hAnsiTheme="minorEastAsia" w:hint="eastAsia"/>
              </w:rPr>
              <w:t>閱讀</w:t>
            </w:r>
            <w:r w:rsidR="0090251C" w:rsidRPr="00600E37">
              <w:rPr>
                <w:rFonts w:asciiTheme="minorEastAsia" w:hAnsiTheme="minorEastAsia" w:hint="eastAsia"/>
              </w:rPr>
              <w:t>課程</w:t>
            </w:r>
            <w:r w:rsidR="0090251C">
              <w:rPr>
                <w:rFonts w:asciiTheme="minorEastAsia" w:hAnsiTheme="minorEastAsia" w:hint="eastAsia"/>
              </w:rPr>
              <w:t>計畫</w:t>
            </w:r>
            <w:r w:rsidR="0090251C">
              <w:rPr>
                <w:rFonts w:asciiTheme="minorEastAsia" w:hAnsiTheme="minorEastAsia" w:hint="eastAsia"/>
              </w:rPr>
              <w:t>並</w:t>
            </w:r>
            <w:r w:rsidR="0090251C" w:rsidRPr="00600E37">
              <w:rPr>
                <w:rFonts w:asciiTheme="minorEastAsia" w:hAnsiTheme="minorEastAsia" w:hint="eastAsia"/>
              </w:rPr>
              <w:t>配合縣內施政五化運動</w:t>
            </w:r>
            <w:r w:rsidR="0090251C">
              <w:rPr>
                <w:rFonts w:asciiTheme="minorEastAsia" w:hAnsiTheme="minorEastAsia" w:hint="eastAsia"/>
              </w:rPr>
              <w:t>之「</w:t>
            </w:r>
            <w:r w:rsidR="0090251C">
              <w:rPr>
                <w:rFonts w:asciiTheme="minorEastAsia" w:hAnsiTheme="minorEastAsia" w:hint="eastAsia"/>
              </w:rPr>
              <w:t>閱讀深耕</w:t>
            </w:r>
            <w:r w:rsidR="0090251C" w:rsidRPr="00600E37">
              <w:rPr>
                <w:rFonts w:asciiTheme="minorEastAsia" w:hAnsiTheme="minorEastAsia" w:hint="eastAsia"/>
              </w:rPr>
              <w:t>化</w:t>
            </w:r>
            <w:r w:rsidR="0090251C">
              <w:rPr>
                <w:rFonts w:asciiTheme="minorEastAsia" w:hAnsiTheme="minorEastAsia" w:hint="eastAsia"/>
              </w:rPr>
              <w:t>」</w:t>
            </w:r>
            <w:r w:rsidR="0090251C" w:rsidRPr="00600E37">
              <w:rPr>
                <w:rFonts w:asciiTheme="minorEastAsia" w:hAnsiTheme="minorEastAsia" w:hint="eastAsia"/>
              </w:rPr>
              <w:t>。以期學生能從</w:t>
            </w:r>
            <w:r w:rsidR="0090251C">
              <w:rPr>
                <w:rFonts w:asciiTheme="minorEastAsia" w:hAnsiTheme="minorEastAsia" w:hint="eastAsia"/>
              </w:rPr>
              <w:t xml:space="preserve">平日累積閱讀的廣度和深度。  </w:t>
            </w:r>
          </w:p>
          <w:p w:rsidR="0090251C" w:rsidRPr="00600E37" w:rsidRDefault="0090251C" w:rsidP="0090251C">
            <w:pPr>
              <w:pStyle w:val="a3"/>
              <w:ind w:leftChars="0" w:left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二、</w:t>
            </w:r>
            <w:r>
              <w:rPr>
                <w:rFonts w:asciiTheme="minorEastAsia" w:hAnsiTheme="minorEastAsia" w:hint="eastAsia"/>
              </w:rPr>
              <w:t>讓學生喜歡</w:t>
            </w:r>
            <w:r>
              <w:rPr>
                <w:rFonts w:asciiTheme="minorEastAsia" w:hAnsiTheme="minorEastAsia" w:hint="eastAsia"/>
              </w:rPr>
              <w:t>閱讀</w:t>
            </w:r>
            <w:r>
              <w:rPr>
                <w:rFonts w:asciiTheme="minorEastAsia" w:hAnsiTheme="minorEastAsia" w:hint="eastAsia"/>
              </w:rPr>
              <w:t>進而養成</w:t>
            </w:r>
            <w:r>
              <w:rPr>
                <w:rFonts w:asciiTheme="minorEastAsia" w:hAnsiTheme="minorEastAsia" w:hint="eastAsia"/>
              </w:rPr>
              <w:t>閱讀</w:t>
            </w:r>
            <w:r>
              <w:rPr>
                <w:rFonts w:asciiTheme="minorEastAsia" w:hAnsiTheme="minorEastAsia" w:hint="eastAsia"/>
              </w:rPr>
              <w:t>的習慣並配合縣施政五化運動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閱讀深耕</w:t>
            </w:r>
            <w:r w:rsidRPr="001059B9">
              <w:rPr>
                <w:rFonts w:asciiTheme="minorEastAsia" w:hAnsiTheme="minorEastAsia" w:hint="eastAsia"/>
              </w:rPr>
              <w:t>化</w:t>
            </w:r>
            <w:r>
              <w:rPr>
                <w:rFonts w:asciiTheme="minorEastAsia" w:hAnsiTheme="minorEastAsia" w:hint="eastAsia"/>
              </w:rPr>
              <w:t>」。</w:t>
            </w:r>
            <w:r w:rsidRPr="00600E37">
              <w:rPr>
                <w:rFonts w:asciiTheme="minorEastAsia" w:hAnsiTheme="minorEastAsia"/>
              </w:rPr>
              <w:t xml:space="preserve"> 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    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貳、目的：</w:t>
            </w:r>
          </w:p>
          <w:p w:rsidR="005F188D" w:rsidRPr="005F188D" w:rsidRDefault="00A05698" w:rsidP="00A05698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5F188D"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一、</w:t>
            </w:r>
            <w:r w:rsidR="005F188D"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="005F188D"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推廣語文教育，營造校園優良閱讀環境。</w:t>
            </w:r>
          </w:p>
          <w:p w:rsidR="005F188D" w:rsidRPr="005F188D" w:rsidRDefault="00A05698" w:rsidP="00A05698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5F188D"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二、提高學生學習興趣，增加兒童閱讀能力。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三、鼓勵父母陪伴孩子閱讀，營造家庭閱讀氛圍，建構優質家庭生活。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四、達成書香社會，改變兒童氣質。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参、實施項目及方式： 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一、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班級閱讀：利用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晨間或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彈性課程之閱讀時間，本校一至六年級各班輪流至圖書室，由級任教師指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或其他領域任課老師指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導閱讀各學年選定之優良圖書，並予以記錄。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二、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新生閱讀推廣計畫：由教育部國民及學前教育署贈與之優質圖書，整合班級其餘課外書籍，結合親師生各方資源建立「班級閱讀角」，提供學生於課餘時間自由借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閱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，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俾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使圖書獲得充分利用。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三、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愛閱家庭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活動：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鼓勵愛閱讀活動延伸至家庭中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。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鼓勵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每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週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共讀習慣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由父母伴讀，孩子更能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種下閱讀種子，持續閱讀，累積書香智慧存款。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四、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線上閱讀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認證：運用資訊融入閱讀教學，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鼓勵班級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實施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閱讀線上認證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學習活動。輔助班級老師及家長推展閱讀活動，提高學生閱讀興致，並增添閱讀的成就與樂趣。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五、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閱讀心得分享：凡本校學生於在校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期間，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閱讀優良書籍並完成閱讀心得報告，經教師評閱認證後，送交設備組評選優良者，將予以公開表揚獎勵。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六、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辦理書展：配合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圖書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室活動，展覽相關議題之優良圖書，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由學長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進行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一對一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繪本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或故事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導讀，提升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低年級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閱讀力。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lastRenderedPageBreak/>
              <w:t>七、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班級圖書箱閱讀：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各班派文化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股長向圖書室借班級圖書箱，以利全班閱讀。</w:t>
            </w:r>
          </w:p>
          <w:p w:rsidR="005F188D" w:rsidRPr="005F188D" w:rsidRDefault="005F188D" w:rsidP="0090251C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八、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故事小志工：募集高年級有學習意願及樂於分享之學生，提供階段性培訓，於晨光時間說故事給低年級學生聽，引發低年級學生的閱讀興趣，並提升故事小志工帶領活動技巧及語文能力。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8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5F188D" w:rsidRPr="005F188D" w:rsidRDefault="005F188D" w:rsidP="0090251C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九、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心靈補給站：設置溫馨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閱讀角於本校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力學樓的二至五樓的樓梯迴轉區，提供各種書籍，讓孩子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沉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浸在下課十分鐘的書香環境中，享受閱讀的放鬆與快樂。</w:t>
            </w:r>
          </w:p>
          <w:p w:rsidR="005F188D" w:rsidRPr="005F188D" w:rsidRDefault="005F188D" w:rsidP="0090251C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十、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重點創意閱讀競賽活動：參加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臺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中市政府教育局創意閱讀推銷高手比賽，鼓勵學生深度閱讀，提升創造思考能力，推廣校園快樂閱讀氛圍。</w:t>
            </w:r>
          </w:p>
          <w:p w:rsidR="005F188D" w:rsidRPr="005F188D" w:rsidRDefault="005F188D" w:rsidP="0090251C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十一、寧靜閱讀10分鐘，鼓勵學生閱讀多元圖書，累積豐富的知識及生活經驗，進而提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 升學生創造思考能力。（另訂立實施計畫）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   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肆、獎勵辦法：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一、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愛閱家庭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募集活動：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(108年下學期開始實施)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 （一）每日至少利用20分鐘，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愛閱家庭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之親子一起閱讀，將每天閱讀的情形登錄於   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       「智慧存款簿」中，每人每天可得到「書香智慧幣」一枚。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 （二）智慧存款簿每月統計1次，當月完成25日以上閱讀紀錄並由家長簽名認證者，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       即通過「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超級愛閱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」任務關卡1關。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 （三）完成6關任務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之愛閱家庭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，由</w:t>
            </w:r>
            <w:proofErr w:type="gramStart"/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隘</w:t>
            </w:r>
            <w:proofErr w:type="gramEnd"/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門國小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頒發愛閱家庭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證書與閱讀達人           獎狀，成為種子推動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家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庭。</w:t>
            </w:r>
          </w:p>
          <w:p w:rsidR="005F188D" w:rsidRPr="005F188D" w:rsidRDefault="005F188D" w:rsidP="0090251C">
            <w:pPr>
              <w:widowControl/>
              <w:spacing w:before="100" w:beforeAutospacing="1" w:after="100" w:afterAutospacing="1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二、</w:t>
            </w:r>
            <w:r w:rsidRPr="005F188D">
              <w:rPr>
                <w:rFonts w:asciiTheme="minorEastAsia" w:hAnsiTheme="minorEastAsia" w:cs="Times New Roman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線上閱讀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認證：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(108學年度下學期開始實施)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   以臺灣本土八種鳥類依其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珍稀性作為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認證系統8個進階圖騰，各年段的小朋友認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 證適合各年段閱讀的書籍，通過後每一本可獲得3分，從麻雀(1~99分)到最高榮譽的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 臺灣藍鵲(3000分)，達成階段認證的學生可獲得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  <w:shd w:val="clear" w:color="auto" w:fill="FFFFFF"/>
              </w:rPr>
              <w:t>各階段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  <w:shd w:val="clear" w:color="auto" w:fill="FFFFFF"/>
              </w:rPr>
              <w:t>的獎卡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  <w:shd w:val="clear" w:color="auto" w:fill="FFFFFF"/>
              </w:rPr>
              <w:t>；得到最高榮譽的臺灣藍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360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    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  <w:shd w:val="clear" w:color="auto" w:fill="FFFFFF"/>
              </w:rPr>
              <w:t>鵲可獲得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  <w:shd w:val="clear" w:color="auto" w:fill="FFFFFF"/>
              </w:rPr>
              <w:t>珍貴的鑰匙圈。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ind w:left="360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lastRenderedPageBreak/>
              <w:t>   三、閱讀心得分享：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        學生閱讀1本書(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不限校內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圖書)，可至學校圖書室拿取閱讀心得回饋單，完成後 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  經教師評閱認證，送交設備組評選優良者，公開表揚獎勵。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四、班級圖書箱：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        每學期借閱達成目標的班級，交回</w:t>
            </w:r>
            <w:proofErr w:type="gramStart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借閱單至</w:t>
            </w:r>
            <w:proofErr w:type="gramEnd"/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設備組，公開表揚以資鼓勵(低年級-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  15本，中年級-10本，高年級-8本)。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五、個人借閱排名：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        每學期選出二至六年級各年級借閱最多本書的學生，由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教導主任</w:t>
            </w: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提供圖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  書禮券給上、下學期借閱書籍最多本的學童。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   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 六、故事小志工：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          於學年度期末公開表揚，頒發獎狀獎品以資鼓勵。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伍、經費概算表：</w:t>
            </w:r>
            <w:r w:rsidR="0090251C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(申請閱讀計畫)</w:t>
            </w:r>
          </w:p>
          <w:p w:rsidR="005F188D" w:rsidRPr="005F188D" w:rsidRDefault="005F188D" w:rsidP="005F188D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 xml:space="preserve">     </w:t>
            </w:r>
          </w:p>
          <w:tbl>
            <w:tblPr>
              <w:tblW w:w="0" w:type="auto"/>
              <w:tblInd w:w="1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2149"/>
              <w:gridCol w:w="961"/>
              <w:gridCol w:w="968"/>
              <w:gridCol w:w="1101"/>
              <w:gridCol w:w="1263"/>
              <w:gridCol w:w="2296"/>
            </w:tblGrid>
            <w:tr w:rsidR="005F188D" w:rsidRPr="005F188D" w:rsidTr="005F188D">
              <w:tc>
                <w:tcPr>
                  <w:tcW w:w="841" w:type="dxa"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編號</w:t>
                  </w:r>
                </w:p>
              </w:tc>
              <w:tc>
                <w:tcPr>
                  <w:tcW w:w="2149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項目</w:t>
                  </w:r>
                </w:p>
              </w:tc>
              <w:tc>
                <w:tcPr>
                  <w:tcW w:w="961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單位</w:t>
                  </w:r>
                </w:p>
              </w:tc>
              <w:tc>
                <w:tcPr>
                  <w:tcW w:w="968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數量</w:t>
                  </w:r>
                </w:p>
              </w:tc>
              <w:tc>
                <w:tcPr>
                  <w:tcW w:w="1101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單價</w:t>
                  </w:r>
                </w:p>
              </w:tc>
              <w:tc>
                <w:tcPr>
                  <w:tcW w:w="1263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金額</w:t>
                  </w:r>
                </w:p>
              </w:tc>
              <w:tc>
                <w:tcPr>
                  <w:tcW w:w="2296" w:type="dxa"/>
                  <w:tcBorders>
                    <w:top w:val="doub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經費來源</w:t>
                  </w:r>
                </w:p>
              </w:tc>
            </w:tr>
            <w:tr w:rsidR="005F188D" w:rsidRPr="005F188D" w:rsidTr="005F188D">
              <w:tc>
                <w:tcPr>
                  <w:tcW w:w="841" w:type="dxa"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閱讀心得分享獎品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份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50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 $1,500</w:t>
                  </w:r>
                </w:p>
              </w:tc>
              <w:tc>
                <w:tcPr>
                  <w:tcW w:w="229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 xml:space="preserve">  </w:t>
                  </w: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i/>
                      <w:iCs/>
                      <w:kern w:val="0"/>
                      <w:szCs w:val="24"/>
                    </w:rPr>
                    <w:t> 學校單位預算</w:t>
                  </w:r>
                </w:p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國民小學-</w:t>
                  </w:r>
                </w:p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一般教學計畫</w:t>
                  </w:r>
                </w:p>
              </w:tc>
            </w:tr>
            <w:tr w:rsidR="005F188D" w:rsidRPr="005F188D" w:rsidTr="005F188D">
              <w:tc>
                <w:tcPr>
                  <w:tcW w:w="841" w:type="dxa"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故事小志工獎品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份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200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 $3,000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5F188D" w:rsidRPr="005F188D" w:rsidRDefault="005F188D" w:rsidP="005F188D">
                  <w:pPr>
                    <w:widowControl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</w:p>
              </w:tc>
            </w:tr>
            <w:tr w:rsidR="005F188D" w:rsidRPr="005F188D" w:rsidTr="005F188D">
              <w:tc>
                <w:tcPr>
                  <w:tcW w:w="841" w:type="dxa"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班級圖書箱獎品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本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150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200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 $30,000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i/>
                      <w:iCs/>
                      <w:kern w:val="0"/>
                      <w:szCs w:val="24"/>
                    </w:rPr>
                    <w:t>家長會基金</w:t>
                  </w:r>
                </w:p>
              </w:tc>
            </w:tr>
            <w:tr w:rsidR="005F188D" w:rsidRPr="005F188D" w:rsidTr="005F188D">
              <w:tc>
                <w:tcPr>
                  <w:tcW w:w="6020" w:type="dxa"/>
                  <w:gridSpan w:val="5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合        計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$34,500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188D" w:rsidRPr="005F188D" w:rsidRDefault="005F188D" w:rsidP="005F188D">
                  <w:pPr>
                    <w:widowControl/>
                    <w:spacing w:before="100" w:beforeAutospacing="1" w:after="100" w:afterAutospacing="1"/>
                    <w:jc w:val="both"/>
                    <w:rPr>
                      <w:rFonts w:asciiTheme="minorEastAsia" w:hAnsiTheme="minorEastAsia" w:cs="Arial"/>
                      <w:kern w:val="0"/>
                      <w:szCs w:val="24"/>
                    </w:rPr>
                  </w:pPr>
                  <w:r w:rsidRPr="005F188D">
                    <w:rPr>
                      <w:rFonts w:asciiTheme="minorEastAsia" w:hAnsiTheme="minorEastAsia" w:cs="Arial" w:hint="eastAsia"/>
                      <w:b/>
                      <w:bCs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5F188D" w:rsidRPr="005F188D" w:rsidRDefault="005F188D" w:rsidP="0090251C">
            <w:pPr>
              <w:widowControl/>
              <w:spacing w:before="100" w:beforeAutospacing="1" w:after="100" w:afterAutospacing="1"/>
              <w:jc w:val="both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4"/>
              </w:rPr>
            </w:pPr>
            <w:r w:rsidRPr="005F188D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4"/>
              </w:rPr>
              <w:t> 陸、本計劃經校長核可後實施之，修正時亦同。</w:t>
            </w:r>
            <w:bookmarkStart w:id="0" w:name="_GoBack"/>
            <w:bookmarkEnd w:id="0"/>
          </w:p>
        </w:tc>
      </w:tr>
    </w:tbl>
    <w:p w:rsidR="00DC16D3" w:rsidRPr="005F188D" w:rsidRDefault="00DC16D3">
      <w:pPr>
        <w:rPr>
          <w:rFonts w:asciiTheme="minorEastAsia" w:hAnsiTheme="minorEastAsia"/>
          <w:szCs w:val="24"/>
        </w:rPr>
      </w:pPr>
    </w:p>
    <w:sectPr w:rsidR="00DC16D3" w:rsidRPr="005F188D" w:rsidSect="005F1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3B27"/>
    <w:multiLevelType w:val="hybridMultilevel"/>
    <w:tmpl w:val="279CF820"/>
    <w:lvl w:ilvl="0" w:tplc="C2A0F6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8D"/>
    <w:rsid w:val="00357A57"/>
    <w:rsid w:val="005F188D"/>
    <w:rsid w:val="0090251C"/>
    <w:rsid w:val="00A05698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7A76"/>
  <w15:chartTrackingRefBased/>
  <w15:docId w15:val="{7755252C-929F-4BAE-85BE-669FC0E5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5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27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FFFFF"/>
                    <w:bottom w:val="none" w:sz="0" w:space="0" w:color="auto"/>
                    <w:right w:val="single" w:sz="12" w:space="0" w:color="FFFFFF"/>
                  </w:divBdr>
                  <w:divsChild>
                    <w:div w:id="5041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2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8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9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2019-12-15T08:07:00Z</dcterms:created>
  <dcterms:modified xsi:type="dcterms:W3CDTF">2019-12-15T21:42:00Z</dcterms:modified>
</cp:coreProperties>
</file>