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823" w:rsidRPr="009E3823" w:rsidRDefault="009E3823" w:rsidP="009E3823">
      <w:pPr>
        <w:autoSpaceDE/>
        <w:autoSpaceDN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bookmarkStart w:id="0" w:name="_GoBack"/>
      <w:r w:rsidRPr="009E3823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澎湖縣湖西鄉</w:t>
      </w:r>
      <w:proofErr w:type="gramStart"/>
      <w:r w:rsidRPr="009E3823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隘</w:t>
      </w:r>
      <w:proofErr w:type="gramEnd"/>
      <w:r w:rsidRPr="009E3823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門國小法律規定教育議題實施規劃</w:t>
      </w:r>
    </w:p>
    <w:tbl>
      <w:tblPr>
        <w:tblStyle w:val="3"/>
        <w:tblpPr w:leftFromText="180" w:rightFromText="180" w:horzAnchor="margin" w:tblpY="780"/>
        <w:tblW w:w="0" w:type="auto"/>
        <w:tblLook w:val="04A0" w:firstRow="1" w:lastRow="0" w:firstColumn="1" w:lastColumn="0" w:noHBand="0" w:noVBand="1"/>
      </w:tblPr>
      <w:tblGrid>
        <w:gridCol w:w="457"/>
        <w:gridCol w:w="2233"/>
        <w:gridCol w:w="602"/>
        <w:gridCol w:w="2409"/>
        <w:gridCol w:w="1063"/>
        <w:gridCol w:w="1064"/>
        <w:gridCol w:w="2272"/>
      </w:tblGrid>
      <w:tr w:rsidR="009E3823" w:rsidRPr="002B2D8F" w:rsidTr="00E93D80">
        <w:tc>
          <w:tcPr>
            <w:tcW w:w="457" w:type="dxa"/>
            <w:vMerge w:val="restart"/>
            <w:vAlign w:val="center"/>
          </w:tcPr>
          <w:bookmarkEnd w:id="0"/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2B2D8F">
              <w:rPr>
                <w:rFonts w:ascii="標楷體" w:eastAsia="標楷體" w:hAnsi="標楷體" w:cs="Times New Roman" w:hint="eastAsia"/>
                <w:b/>
                <w:bCs/>
              </w:rPr>
              <w:t>序</w:t>
            </w:r>
          </w:p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  <w:b/>
                <w:bCs/>
              </w:rPr>
              <w:t>號</w:t>
            </w:r>
          </w:p>
        </w:tc>
        <w:tc>
          <w:tcPr>
            <w:tcW w:w="2233" w:type="dxa"/>
            <w:vMerge w:val="restart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法定重要教育議題</w:t>
            </w:r>
            <w:proofErr w:type="spellEnd"/>
          </w:p>
        </w:tc>
        <w:tc>
          <w:tcPr>
            <w:tcW w:w="5138" w:type="dxa"/>
            <w:gridSpan w:val="4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b/>
                <w:bCs/>
                <w:lang w:eastAsia="zh-TW"/>
              </w:rPr>
              <w:t>納入課程規劃實施情形</w:t>
            </w:r>
          </w:p>
        </w:tc>
        <w:tc>
          <w:tcPr>
            <w:tcW w:w="2272" w:type="dxa"/>
            <w:vMerge w:val="restart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  <w:b/>
                <w:bCs/>
              </w:rPr>
              <w:t>相關規定說明</w:t>
            </w:r>
            <w:proofErr w:type="spellEnd"/>
          </w:p>
        </w:tc>
      </w:tr>
      <w:tr w:rsidR="009E3823" w:rsidRPr="002B2D8F" w:rsidTr="00E93D80">
        <w:tc>
          <w:tcPr>
            <w:tcW w:w="457" w:type="dxa"/>
            <w:vMerge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233" w:type="dxa"/>
            <w:vMerge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5138" w:type="dxa"/>
            <w:gridSpan w:val="4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272" w:type="dxa"/>
            <w:vMerge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9E3823" w:rsidRPr="002B2D8F" w:rsidTr="00E93D80"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602" w:type="dxa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  <w:b/>
                <w:bCs/>
              </w:rPr>
              <w:t>實施年級</w:t>
            </w:r>
            <w:proofErr w:type="spellEnd"/>
          </w:p>
        </w:tc>
        <w:tc>
          <w:tcPr>
            <w:tcW w:w="2409" w:type="dxa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b/>
                <w:bCs/>
                <w:lang w:eastAsia="zh-TW"/>
              </w:rPr>
              <w:t>領域學習或彈性學習課程別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  <w:b/>
                <w:bCs/>
              </w:rPr>
              <w:t>實施時數</w:t>
            </w:r>
            <w:proofErr w:type="spellEnd"/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233" w:type="dxa"/>
            <w:vMerge w:val="restart"/>
            <w:shd w:val="clear" w:color="auto" w:fill="92D050"/>
            <w:vAlign w:val="center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b/>
                <w:bCs/>
                <w:szCs w:val="24"/>
                <w:lang w:eastAsia="zh-TW"/>
              </w:rPr>
              <w:t>性別平等教育或活動</w:t>
            </w:r>
          </w:p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b/>
                <w:bCs/>
                <w:color w:val="000000"/>
                <w:sz w:val="20"/>
                <w:szCs w:val="20"/>
                <w:lang w:eastAsia="zh-TW"/>
              </w:rPr>
              <w:t>每學期至少4小時</w:t>
            </w:r>
          </w:p>
        </w:tc>
        <w:tc>
          <w:tcPr>
            <w:tcW w:w="60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409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國語文領域、生活領域、健康與體育領域、彈性閱讀課程或活動</w:t>
            </w:r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上學期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4時</w:t>
            </w:r>
          </w:p>
        </w:tc>
        <w:tc>
          <w:tcPr>
            <w:tcW w:w="227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新細明體" w:eastAsia="新細明體" w:hAnsi="新細明體" w:cs="新細明體"/>
                <w:lang w:eastAsia="zh-TW"/>
              </w:rPr>
              <w:t>✽</w:t>
            </w: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性別平等教育法第17條</w:t>
            </w:r>
          </w:p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每學期至少4小時</w:t>
            </w:r>
          </w:p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新細明體" w:eastAsia="新細明體" w:hAnsi="新細明體" w:cs="新細明體"/>
                <w:lang w:eastAsia="zh-TW"/>
              </w:rPr>
              <w:t>✽</w:t>
            </w: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兒童及少年性剝削防制條例第4條</w:t>
            </w:r>
          </w:p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每學年應辦理兒童及少年性剝削防治教育課程或教育宣導</w:t>
            </w:r>
          </w:p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(</w:t>
            </w: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建議融入</w:t>
            </w:r>
            <w:proofErr w:type="spellEnd"/>
            <w:r w:rsidRPr="002B2D8F">
              <w:rPr>
                <w:rFonts w:ascii="標楷體" w:eastAsia="標楷體" w:hAnsi="標楷體" w:cs="Times New Roman" w:hint="eastAsia"/>
              </w:rPr>
              <w:t>)</w:t>
            </w: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92D05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09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下學期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Segoe UI Symbol"/>
              </w:rPr>
            </w:pP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92D05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409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國語文領域、生活領域、健康與體育領域、彈性閱讀課程或活動</w:t>
            </w:r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上學期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Segoe UI Symbol"/>
              </w:rPr>
            </w:pP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92D05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09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下學期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Segoe UI Symbol"/>
              </w:rPr>
            </w:pP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92D05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09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國語文領域、健康與體育領域、綜合活動課程或活動、彈性</w:t>
            </w:r>
            <w:proofErr w:type="gramStart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校定</w:t>
            </w:r>
            <w:proofErr w:type="gramEnd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課程或活動、彈性社團課程</w:t>
            </w:r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上學期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Segoe UI Symbol"/>
              </w:rPr>
            </w:pP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92D05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09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下學期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Segoe UI Symbol"/>
              </w:rPr>
            </w:pP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92D05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09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國語文領域、健康與體育領域、綜合活動課、彈性</w:t>
            </w:r>
            <w:proofErr w:type="gramStart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校定</w:t>
            </w:r>
            <w:proofErr w:type="gramEnd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課程或活動、彈性社團課程</w:t>
            </w:r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上學期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Segoe UI Symbol"/>
              </w:rPr>
            </w:pP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92D05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09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下學期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Segoe UI Symbol"/>
              </w:rPr>
            </w:pP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92D05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09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國語文領域、健康與體育領域、綜合活動課、彈性</w:t>
            </w:r>
            <w:proofErr w:type="gramStart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校定</w:t>
            </w:r>
            <w:proofErr w:type="gramEnd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課程或活動、彈性社團課程</w:t>
            </w:r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上學期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Segoe UI Symbol"/>
              </w:rPr>
            </w:pP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92D05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09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下學期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Segoe UI Symbol"/>
              </w:rPr>
            </w:pPr>
          </w:p>
        </w:tc>
      </w:tr>
      <w:tr w:rsidR="009E3823" w:rsidRPr="002B2D8F" w:rsidTr="00E93D80">
        <w:trPr>
          <w:trHeight w:val="81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92D05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09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國語文領域、健康與體育領域、綜合活動課、彈性</w:t>
            </w:r>
            <w:proofErr w:type="gramStart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校定</w:t>
            </w:r>
            <w:proofErr w:type="gramEnd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課程或活動、彈性社團課程</w:t>
            </w:r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上學期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81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92D05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09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下學期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81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92D05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全校</w:t>
            </w:r>
            <w:proofErr w:type="spellEnd"/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性別等教育宣導及輔導活動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295"/>
        </w:trPr>
        <w:tc>
          <w:tcPr>
            <w:tcW w:w="457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233" w:type="dxa"/>
            <w:vMerge w:val="restart"/>
            <w:shd w:val="clear" w:color="auto" w:fill="FF0000"/>
            <w:vAlign w:val="center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  <w:lang w:eastAsia="zh-TW"/>
              </w:rPr>
              <w:t>性侵害防治教育</w:t>
            </w:r>
          </w:p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b/>
                <w:bCs/>
                <w:color w:val="000000"/>
                <w:sz w:val="20"/>
                <w:szCs w:val="20"/>
                <w:lang w:eastAsia="zh-TW"/>
              </w:rPr>
              <w:t>每學年至少4小時</w:t>
            </w:r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健康與體育領域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新細明體" w:eastAsia="新細明體" w:hAnsi="新細明體" w:cs="新細明體"/>
                <w:lang w:eastAsia="zh-TW"/>
              </w:rPr>
              <w:t>✽</w:t>
            </w: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性侵害犯罪防治法第7條</w:t>
            </w:r>
          </w:p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每學年至少4小時</w:t>
            </w:r>
          </w:p>
        </w:tc>
      </w:tr>
      <w:tr w:rsidR="009E3823" w:rsidRPr="002B2D8F" w:rsidTr="00E93D80">
        <w:trPr>
          <w:trHeight w:val="258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2233" w:type="dxa"/>
            <w:vMerge/>
            <w:shd w:val="clear" w:color="auto" w:fill="FF000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  <w:lang w:eastAsia="zh-TW"/>
              </w:rPr>
            </w:pPr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健康與體育領域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279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000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健康與體育領域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391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000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健康與體育領域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282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000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健康與體育領域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33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000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健康與體育領域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463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000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0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全校</w:t>
            </w:r>
            <w:proofErr w:type="spellEnd"/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性侵害防治教育宣導</w:t>
            </w:r>
            <w:proofErr w:type="spellEnd"/>
            <w:r w:rsidRPr="002B2D8F">
              <w:rPr>
                <w:rFonts w:ascii="標楷體" w:eastAsia="標楷體" w:hAnsi="標楷體" w:cs="Times New Roman" w:hint="eastAsia"/>
              </w:rPr>
              <w:t xml:space="preserve"> </w:t>
            </w:r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上學期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1時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428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000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性侵害防治教育宣導</w:t>
            </w:r>
            <w:proofErr w:type="spellEnd"/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下學期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1時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1440"/>
        </w:trPr>
        <w:tc>
          <w:tcPr>
            <w:tcW w:w="457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233" w:type="dxa"/>
            <w:vMerge w:val="restart"/>
            <w:shd w:val="clear" w:color="auto" w:fill="FFC000"/>
            <w:vAlign w:val="center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b/>
                <w:bCs/>
                <w:szCs w:val="24"/>
                <w:lang w:eastAsia="zh-TW"/>
              </w:rPr>
              <w:t>家庭教育課程    及活動</w:t>
            </w:r>
            <w:r w:rsidRPr="002B2D8F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  <w:lang w:eastAsia="zh-TW"/>
              </w:rPr>
              <w:t>(含祖孫</w:t>
            </w:r>
            <w:proofErr w:type="gramStart"/>
            <w:r w:rsidRPr="002B2D8F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  <w:lang w:eastAsia="zh-TW"/>
              </w:rPr>
              <w:t>週</w:t>
            </w:r>
            <w:proofErr w:type="gramEnd"/>
            <w:r w:rsidRPr="002B2D8F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  <w:lang w:eastAsia="zh-TW"/>
              </w:rPr>
              <w:t>)</w:t>
            </w:r>
          </w:p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B2D8F">
              <w:rPr>
                <w:rFonts w:ascii="標楷體" w:eastAsia="標楷體" w:hAnsi="標楷體" w:cs="Times New Roman" w:hint="eastAsia"/>
                <w:b/>
                <w:bCs/>
                <w:color w:val="000000"/>
                <w:sz w:val="20"/>
                <w:szCs w:val="20"/>
              </w:rPr>
              <w:t>每學年至少4小時</w:t>
            </w:r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國語文領域、生活領域、健康與體育領域、彈性閱讀課程或活動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3時</w:t>
            </w:r>
          </w:p>
        </w:tc>
        <w:tc>
          <w:tcPr>
            <w:tcW w:w="227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144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C00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國語文領域、生活領域、健康與體育領域、彈性閱讀課程或活動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3時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144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C00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國語文領域、健康與體育領域、綜合活動課程或活動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3時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144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C00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國語文領域、健康與體育領域、綜合活動課程或活動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3時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144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C00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國語文領域、健康與體育領域、綜合活動課程或活動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3時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C00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國語文領域、健康與體育領域、綜合活動課程或活動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3時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C000"/>
          </w:tcPr>
          <w:p w:rsidR="009E3823" w:rsidRPr="002B2D8F" w:rsidRDefault="009E3823" w:rsidP="00E93D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全校</w:t>
            </w:r>
            <w:proofErr w:type="spellEnd"/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親職教育活動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4小時/</w:t>
            </w: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學年</w:t>
            </w:r>
            <w:proofErr w:type="spellEnd"/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233" w:type="dxa"/>
            <w:vMerge w:val="restart"/>
            <w:shd w:val="clear" w:color="auto" w:fill="FFFF00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b/>
                <w:bCs/>
                <w:lang w:eastAsia="zh-TW"/>
              </w:rPr>
              <w:t>環境教育</w:t>
            </w:r>
          </w:p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  <w:lang w:eastAsia="zh-TW"/>
              </w:rPr>
              <w:t>每學年至少4小時</w:t>
            </w:r>
          </w:p>
        </w:tc>
        <w:tc>
          <w:tcPr>
            <w:tcW w:w="60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國語文領域、生活領域、健康與體育領域、彈性閱讀課程或活動</w:t>
            </w:r>
          </w:p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上學期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新細明體" w:eastAsia="新細明體" w:hAnsi="新細明體" w:cs="新細明體"/>
                <w:lang w:eastAsia="zh-TW"/>
              </w:rPr>
              <w:t>✽</w:t>
            </w: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環境教育法第</w:t>
            </w:r>
            <w:r w:rsidRPr="002B2D8F">
              <w:rPr>
                <w:rFonts w:ascii="標楷體" w:eastAsia="標楷體" w:hAnsi="標楷體" w:cs="Times New Roman"/>
                <w:lang w:eastAsia="zh-TW"/>
              </w:rPr>
              <w:t>19</w:t>
            </w: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條</w:t>
            </w:r>
          </w:p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每學年至少4小時</w:t>
            </w:r>
          </w:p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(含海洋教育1小時，環境倫理、永續發展</w:t>
            </w:r>
          </w:p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、氣候變遷、災害防救、能源資源永續利用3小時)</w:t>
            </w: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2233" w:type="dxa"/>
            <w:vMerge/>
            <w:shd w:val="clear" w:color="auto" w:fill="FFFF00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  <w:lang w:eastAsia="zh-TW"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海洋課程融入彈性主題教學課程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Segoe UI Symbol"/>
              </w:rPr>
            </w:pP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FF00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60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國語文領域、生活領域、健康與體育領域、彈性閱讀課程或活動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72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FF00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海洋課程融入彈性主題教學課程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90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FF00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60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國語文領域、英語文領域、社會領域、自然領域、健康與體育領域、綜合領域、彈性</w:t>
            </w:r>
            <w:proofErr w:type="gramStart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校定</w:t>
            </w:r>
            <w:proofErr w:type="gramEnd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課程或活動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90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FF00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海洋課程融入彈性主題教學課程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90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FF00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60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國語文領域、英語文領域、社會領域、自然領域、健康與體育領域、綜合領域、彈性</w:t>
            </w:r>
            <w:proofErr w:type="gramStart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校定</w:t>
            </w:r>
            <w:proofErr w:type="gramEnd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課程或活動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90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FF00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海洋課程融入彈性主題教學課程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90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FF00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60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國語文領域、英語文領域、社會領域、自然領域、健康與體育領域、綜合領域、彈性</w:t>
            </w:r>
            <w:proofErr w:type="gramStart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校定</w:t>
            </w:r>
            <w:proofErr w:type="gramEnd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課程或活動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90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FF00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海洋課程融入彈性主題教學課程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48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FF00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60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國語文領域、英語文領域、社會領域、自然領域、健康與體育領域、綜合領域、彈性</w:t>
            </w:r>
            <w:proofErr w:type="gramStart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校定</w:t>
            </w:r>
            <w:proofErr w:type="gramEnd"/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課程或活動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48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FF00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2B2D8F">
              <w:rPr>
                <w:rFonts w:ascii="標楷體" w:eastAsia="標楷體" w:hAnsi="標楷體" w:cs="Times New Roman" w:hint="eastAsia"/>
                <w:lang w:eastAsia="zh-TW"/>
              </w:rPr>
              <w:t>海洋課程融入彈性主題教學課程</w:t>
            </w:r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2時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480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FF00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602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全校</w:t>
            </w:r>
            <w:proofErr w:type="spellEnd"/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b/>
                <w:bCs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  <w:b/>
                <w:bCs/>
              </w:rPr>
              <w:t>海洋環境課程</w:t>
            </w:r>
            <w:proofErr w:type="spellEnd"/>
            <w:r w:rsidRPr="002B2D8F">
              <w:rPr>
                <w:rFonts w:ascii="標楷體" w:eastAsia="標楷體" w:hAnsi="標楷體" w:cs="Times New Roman" w:hint="eastAsia"/>
                <w:b/>
                <w:bCs/>
              </w:rPr>
              <w:t>—</w:t>
            </w:r>
            <w:proofErr w:type="spellStart"/>
            <w:r w:rsidRPr="002B2D8F">
              <w:rPr>
                <w:rFonts w:ascii="標楷體" w:eastAsia="標楷體" w:hAnsi="標楷體" w:cs="Times New Roman" w:hint="eastAsia"/>
                <w:b/>
                <w:bCs/>
              </w:rPr>
              <w:t>淨灘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4次/</w:t>
            </w: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學年</w:t>
            </w:r>
            <w:proofErr w:type="spellEnd"/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458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FF00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09" w:type="dxa"/>
            <w:vMerge w:val="restart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環境教育宣導</w:t>
            </w:r>
            <w:proofErr w:type="spellEnd"/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上學期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1時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457"/>
        </w:trPr>
        <w:tc>
          <w:tcPr>
            <w:tcW w:w="457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233" w:type="dxa"/>
            <w:vMerge/>
            <w:shd w:val="clear" w:color="auto" w:fill="FFFF00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60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09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下學期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1時</w:t>
            </w:r>
          </w:p>
        </w:tc>
        <w:tc>
          <w:tcPr>
            <w:tcW w:w="2272" w:type="dxa"/>
            <w:vMerge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</w:p>
        </w:tc>
      </w:tr>
      <w:tr w:rsidR="009E3823" w:rsidRPr="002B2D8F" w:rsidTr="00E93D80">
        <w:trPr>
          <w:trHeight w:val="180"/>
        </w:trPr>
        <w:tc>
          <w:tcPr>
            <w:tcW w:w="457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233" w:type="dxa"/>
            <w:shd w:val="clear" w:color="auto" w:fill="00B0F0"/>
            <w:vAlign w:val="center"/>
          </w:tcPr>
          <w:p w:rsidR="009E3823" w:rsidRPr="002B2D8F" w:rsidRDefault="009E3823" w:rsidP="00E93D80">
            <w:pPr>
              <w:jc w:val="center"/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全民國防教育</w:t>
            </w:r>
            <w:proofErr w:type="spellEnd"/>
          </w:p>
        </w:tc>
        <w:tc>
          <w:tcPr>
            <w:tcW w:w="60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全校</w:t>
            </w:r>
            <w:proofErr w:type="spellEnd"/>
          </w:p>
        </w:tc>
        <w:tc>
          <w:tcPr>
            <w:tcW w:w="2409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全民國防教育推廣</w:t>
            </w:r>
            <w:proofErr w:type="spellEnd"/>
          </w:p>
        </w:tc>
        <w:tc>
          <w:tcPr>
            <w:tcW w:w="1063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2B2D8F">
              <w:rPr>
                <w:rFonts w:ascii="標楷體" w:eastAsia="標楷體" w:hAnsi="標楷體" w:cs="Times New Roman" w:hint="eastAsia"/>
              </w:rPr>
              <w:t>上學期</w:t>
            </w:r>
            <w:proofErr w:type="spellEnd"/>
          </w:p>
        </w:tc>
        <w:tc>
          <w:tcPr>
            <w:tcW w:w="1064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標楷體" w:eastAsia="標楷體" w:hAnsi="標楷體" w:cs="Times New Roman" w:hint="eastAsia"/>
              </w:rPr>
              <w:t>1時</w:t>
            </w:r>
          </w:p>
        </w:tc>
        <w:tc>
          <w:tcPr>
            <w:tcW w:w="2272" w:type="dxa"/>
          </w:tcPr>
          <w:p w:rsidR="009E3823" w:rsidRPr="002B2D8F" w:rsidRDefault="009E3823" w:rsidP="00E93D80">
            <w:pPr>
              <w:rPr>
                <w:rFonts w:ascii="標楷體" w:eastAsia="標楷體" w:hAnsi="標楷體" w:cs="Times New Roman"/>
              </w:rPr>
            </w:pPr>
            <w:r w:rsidRPr="002B2D8F">
              <w:rPr>
                <w:rFonts w:ascii="新細明體" w:eastAsia="新細明體" w:hAnsi="新細明體" w:cs="新細明體"/>
              </w:rPr>
              <w:t>✽</w:t>
            </w:r>
            <w:r w:rsidRPr="002B2D8F">
              <w:rPr>
                <w:rFonts w:ascii="標楷體" w:eastAsia="標楷體" w:hAnsi="標楷體" w:cs="Times New Roman" w:hint="eastAsia"/>
              </w:rPr>
              <w:t>全民國防教育法第7條</w:t>
            </w:r>
          </w:p>
        </w:tc>
      </w:tr>
    </w:tbl>
    <w:p w:rsidR="009E3823" w:rsidRPr="002C47CC" w:rsidRDefault="009E3823" w:rsidP="009E3823">
      <w:pPr>
        <w:autoSpaceDE/>
        <w:autoSpaceDN/>
        <w:rPr>
          <w:rFonts w:ascii="標楷體" w:eastAsia="標楷體" w:hAnsi="標楷體" w:cs="Times New Roman"/>
          <w:kern w:val="2"/>
          <w:sz w:val="24"/>
          <w:lang w:eastAsia="zh-TW"/>
        </w:rPr>
      </w:pPr>
    </w:p>
    <w:p w:rsidR="009E3823" w:rsidRPr="002C47CC" w:rsidRDefault="009E3823" w:rsidP="009E3823">
      <w:pPr>
        <w:spacing w:line="280" w:lineRule="exact"/>
        <w:ind w:leftChars="773" w:left="1701"/>
        <w:rPr>
          <w:rFonts w:asciiTheme="minorEastAsia" w:eastAsiaTheme="minorEastAsia" w:hAnsiTheme="minorEastAsia"/>
          <w:szCs w:val="24"/>
          <w:lang w:eastAsia="zh-TW"/>
        </w:rPr>
      </w:pPr>
    </w:p>
    <w:p w:rsidR="00DC16D3" w:rsidRDefault="00DC16D3"/>
    <w:sectPr w:rsidR="00DC16D3" w:rsidSect="009E38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23"/>
    <w:rsid w:val="00357A57"/>
    <w:rsid w:val="009E3823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859CB-D9D6-4010-80F5-04B096CF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E3823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格格線3"/>
    <w:basedOn w:val="a1"/>
    <w:next w:val="a3"/>
    <w:uiPriority w:val="39"/>
    <w:rsid w:val="009E3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E3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2019-12-14T13:48:00Z</dcterms:created>
  <dcterms:modified xsi:type="dcterms:W3CDTF">2019-12-14T13:50:00Z</dcterms:modified>
</cp:coreProperties>
</file>