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4E" w:rsidRDefault="00B8154E" w:rsidP="00B8154E">
      <w:pPr>
        <w:spacing w:line="460" w:lineRule="exact"/>
        <w:ind w:rightChars="-64" w:right="-154"/>
        <w:jc w:val="center"/>
        <w:rPr>
          <w:rFonts w:ascii="Times New Roman" w:eastAsia="標楷體" w:hAnsi="Times New Roman" w:cs="Times New Roman" w:hint="eastAsia"/>
          <w:b/>
          <w:color w:val="0F243E"/>
          <w:sz w:val="28"/>
          <w:szCs w:val="28"/>
          <w:lang w:eastAsia="zh-HK"/>
        </w:rPr>
      </w:pPr>
      <w:r>
        <w:rPr>
          <w:rFonts w:ascii="Times New Roman" w:eastAsia="標楷體" w:hAnsi="Times New Roman" w:cs="Times New Roman" w:hint="eastAsia"/>
          <w:b/>
          <w:color w:val="0F243E"/>
          <w:sz w:val="28"/>
          <w:szCs w:val="28"/>
        </w:rPr>
        <w:t>澎湖縣馬公市興仁國民小學</w:t>
      </w:r>
      <w:r>
        <w:rPr>
          <w:rFonts w:ascii="Times New Roman" w:eastAsia="標楷體" w:hAnsi="Times New Roman" w:cs="Times New Roman" w:hint="eastAsia"/>
          <w:b/>
          <w:color w:val="0F243E"/>
          <w:sz w:val="28"/>
          <w:szCs w:val="28"/>
        </w:rPr>
        <w:t xml:space="preserve"> </w:t>
      </w:r>
      <w:r>
        <w:rPr>
          <w:rFonts w:ascii="華康古印體" w:eastAsia="華康古印體" w:hAnsi="Times New Roman" w:cs="Times New Roman" w:hint="eastAsia"/>
          <w:b/>
          <w:color w:val="0F243E"/>
          <w:sz w:val="28"/>
          <w:szCs w:val="28"/>
        </w:rPr>
        <w:t>【</w:t>
      </w:r>
      <w:r w:rsidRPr="00B8154E">
        <w:rPr>
          <w:rFonts w:ascii="Times New Roman" w:eastAsia="標楷體" w:hAnsi="Times New Roman" w:cs="Times New Roman" w:hint="eastAsia"/>
          <w:b/>
          <w:color w:val="0F243E"/>
          <w:sz w:val="28"/>
          <w:szCs w:val="28"/>
          <w:lang w:eastAsia="zh-HK"/>
        </w:rPr>
        <w:t>十二年國教課綱推動</w:t>
      </w:r>
      <w:r>
        <w:rPr>
          <w:rFonts w:ascii="華康古印體" w:eastAsia="華康古印體" w:hAnsi="Times New Roman" w:cs="Times New Roman" w:hint="eastAsia"/>
          <w:b/>
          <w:color w:val="0F243E"/>
          <w:sz w:val="28"/>
          <w:szCs w:val="28"/>
          <w:lang w:eastAsia="zh-HK"/>
        </w:rPr>
        <w:t>】</w:t>
      </w:r>
    </w:p>
    <w:p w:rsidR="00B8154E" w:rsidRDefault="00B8154E" w:rsidP="00B8154E">
      <w:pPr>
        <w:spacing w:line="460" w:lineRule="exact"/>
        <w:ind w:rightChars="-64" w:right="-154"/>
        <w:jc w:val="center"/>
        <w:rPr>
          <w:rFonts w:ascii="Times New Roman" w:eastAsia="標楷體" w:hAnsi="Times New Roman" w:cs="Times New Roman" w:hint="eastAsia"/>
          <w:b/>
          <w:color w:val="0F243E"/>
          <w:sz w:val="28"/>
          <w:szCs w:val="28"/>
          <w:lang w:eastAsia="zh-HK"/>
        </w:rPr>
      </w:pPr>
      <w:r w:rsidRPr="00B8154E">
        <w:rPr>
          <w:rFonts w:ascii="Times New Roman" w:eastAsia="標楷體" w:hAnsi="Times New Roman" w:cs="Times New Roman" w:hint="eastAsia"/>
          <w:b/>
          <w:color w:val="0F243E"/>
          <w:sz w:val="28"/>
          <w:szCs w:val="28"/>
          <w:lang w:eastAsia="zh-HK"/>
        </w:rPr>
        <w:t>專業支持或輔導諮詢人員才庫</w:t>
      </w:r>
    </w:p>
    <w:p w:rsidR="00B8154E" w:rsidRDefault="00B8154E" w:rsidP="00B8154E">
      <w:pPr>
        <w:spacing w:line="460" w:lineRule="exact"/>
        <w:ind w:rightChars="-64" w:right="-154"/>
        <w:jc w:val="both"/>
        <w:rPr>
          <w:rFonts w:ascii="Times New Roman" w:eastAsia="標楷體" w:hAnsi="Times New Roman" w:cs="Times New Roman" w:hint="eastAsia"/>
          <w:b/>
          <w:color w:val="0F243E"/>
          <w:sz w:val="28"/>
          <w:szCs w:val="28"/>
          <w:lang w:eastAsia="zh-HK"/>
        </w:rPr>
      </w:pPr>
    </w:p>
    <w:p w:rsidR="00B8154E" w:rsidRPr="00B8154E" w:rsidRDefault="00B8154E" w:rsidP="00B8154E">
      <w:pPr>
        <w:spacing w:line="276" w:lineRule="auto"/>
        <w:ind w:rightChars="-64" w:right="-154"/>
        <w:jc w:val="both"/>
        <w:rPr>
          <w:rFonts w:ascii="Times New Roman" w:eastAsia="標楷體" w:hAnsi="Times New Roman" w:cs="Times New Roman"/>
          <w:szCs w:val="24"/>
        </w:rPr>
      </w:pPr>
      <w:r w:rsidRPr="00B8154E">
        <w:rPr>
          <w:rFonts w:ascii="Times New Roman" w:eastAsia="標楷體" w:hAnsi="Times New Roman" w:cs="Times New Roman"/>
          <w:color w:val="000000"/>
          <w:szCs w:val="24"/>
        </w:rPr>
        <w:t xml:space="preserve">　　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因應</w:t>
      </w:r>
      <w:r w:rsidRPr="00B8154E">
        <w:rPr>
          <w:rFonts w:ascii="Times New Roman" w:eastAsia="標楷體" w:hAnsi="Times New Roman" w:cs="Times New Roman" w:hint="eastAsia"/>
          <w:color w:val="000000"/>
          <w:szCs w:val="24"/>
        </w:rPr>
        <w:t>十二年國教課</w:t>
      </w:r>
      <w:proofErr w:type="gramStart"/>
      <w:r w:rsidRPr="00B8154E">
        <w:rPr>
          <w:rFonts w:ascii="Times New Roman" w:eastAsia="標楷體" w:hAnsi="Times New Roman" w:cs="Times New Roman" w:hint="eastAsia"/>
          <w:color w:val="000000"/>
          <w:szCs w:val="24"/>
        </w:rPr>
        <w:t>綱</w:t>
      </w:r>
      <w:proofErr w:type="gramEnd"/>
      <w:r w:rsidRPr="00B8154E">
        <w:rPr>
          <w:rFonts w:ascii="Times New Roman" w:eastAsia="標楷體" w:hAnsi="Times New Roman" w:cs="Times New Roman" w:hint="eastAsia"/>
          <w:color w:val="000000"/>
          <w:szCs w:val="24"/>
        </w:rPr>
        <w:t>推動</w:t>
      </w:r>
      <w:r>
        <w:rPr>
          <w:rFonts w:ascii="標楷體" w:eastAsia="標楷體" w:hAnsi="標楷體" w:cs="Times New Roman" w:hint="eastAsia"/>
          <w:color w:val="000000"/>
          <w:szCs w:val="24"/>
        </w:rPr>
        <w:t>，分析</w:t>
      </w:r>
      <w:r w:rsidRPr="00B8154E">
        <w:rPr>
          <w:rFonts w:ascii="Times New Roman" w:eastAsia="標楷體" w:hAnsi="Times New Roman" w:cs="Times New Roman"/>
          <w:color w:val="000000"/>
          <w:szCs w:val="24"/>
        </w:rPr>
        <w:t>學校內外人力與物力資源、鄰近社區概況優勢及觀光景點資源等，</w:t>
      </w:r>
      <w:r w:rsidRPr="00B8154E">
        <w:rPr>
          <w:rFonts w:ascii="Times New Roman" w:eastAsia="標楷體" w:hAnsi="Times New Roman" w:cs="Times New Roman"/>
          <w:szCs w:val="24"/>
        </w:rPr>
        <w:t>評估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新課綱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推動課程</w:t>
      </w:r>
      <w:r w:rsidRPr="00B8154E">
        <w:rPr>
          <w:rFonts w:ascii="Times New Roman" w:eastAsia="標楷體" w:hAnsi="Times New Roman" w:cs="Times New Roman"/>
          <w:szCs w:val="24"/>
        </w:rPr>
        <w:t>能量與</w:t>
      </w:r>
      <w:r>
        <w:rPr>
          <w:rFonts w:ascii="Times New Roman" w:eastAsia="標楷體" w:hAnsi="Times New Roman" w:cs="Times New Roman" w:hint="eastAsia"/>
          <w:szCs w:val="24"/>
        </w:rPr>
        <w:t>人力資源</w:t>
      </w:r>
      <w:r>
        <w:rPr>
          <w:rFonts w:ascii="標楷體" w:eastAsia="標楷體" w:hAnsi="標楷體" w:cs="Times New Roman" w:hint="eastAsia"/>
          <w:szCs w:val="24"/>
        </w:rPr>
        <w:t>，</w:t>
      </w:r>
      <w:r w:rsidR="009F45F4">
        <w:rPr>
          <w:rFonts w:ascii="標楷體" w:eastAsia="標楷體" w:hAnsi="標楷體" w:cs="Times New Roman" w:hint="eastAsia"/>
          <w:szCs w:val="24"/>
        </w:rPr>
        <w:t>特聘專業人員支持與輔導諮詢，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俾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利課程活化與發展</w:t>
      </w:r>
      <w:r w:rsidRPr="00B8154E">
        <w:rPr>
          <w:rFonts w:ascii="Times New Roman" w:eastAsia="標楷體" w:hAnsi="Times New Roman" w:cs="Times New Roman"/>
          <w:szCs w:val="24"/>
        </w:rPr>
        <w:t>。</w:t>
      </w:r>
    </w:p>
    <w:p w:rsidR="00B8154E" w:rsidRPr="00B8154E" w:rsidRDefault="00B8154E" w:rsidP="00B8154E">
      <w:pPr>
        <w:spacing w:line="276" w:lineRule="auto"/>
        <w:ind w:rightChars="-64" w:right="-154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tbl>
      <w:tblPr>
        <w:tblStyle w:val="1"/>
        <w:tblW w:w="10033" w:type="dxa"/>
        <w:jc w:val="center"/>
        <w:tblLayout w:type="fixed"/>
        <w:tblLook w:val="0000" w:firstRow="0" w:lastRow="0" w:firstColumn="0" w:lastColumn="0" w:noHBand="0" w:noVBand="0"/>
      </w:tblPr>
      <w:tblGrid>
        <w:gridCol w:w="438"/>
        <w:gridCol w:w="1288"/>
        <w:gridCol w:w="882"/>
        <w:gridCol w:w="7425"/>
      </w:tblGrid>
      <w:tr w:rsidR="00B8154E" w:rsidRPr="00B8154E" w:rsidTr="00716002">
        <w:trPr>
          <w:trHeight w:val="429"/>
          <w:jc w:val="center"/>
        </w:trPr>
        <w:tc>
          <w:tcPr>
            <w:tcW w:w="1726" w:type="dxa"/>
            <w:gridSpan w:val="2"/>
            <w:shd w:val="clear" w:color="auto" w:fill="B8CCE4" w:themeFill="accent1" w:themeFillTint="66"/>
          </w:tcPr>
          <w:p w:rsidR="00B8154E" w:rsidRPr="00B8154E" w:rsidRDefault="00B8154E" w:rsidP="00B815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154E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882" w:type="dxa"/>
            <w:shd w:val="clear" w:color="auto" w:fill="B8CCE4" w:themeFill="accent1" w:themeFillTint="66"/>
          </w:tcPr>
          <w:p w:rsidR="00B8154E" w:rsidRPr="00B8154E" w:rsidRDefault="00B8154E" w:rsidP="00B815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154E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7425" w:type="dxa"/>
            <w:shd w:val="clear" w:color="auto" w:fill="B8CCE4" w:themeFill="accent1" w:themeFillTint="66"/>
          </w:tcPr>
          <w:p w:rsidR="00B8154E" w:rsidRPr="00B8154E" w:rsidRDefault="00B8154E" w:rsidP="00B815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154E">
              <w:rPr>
                <w:rFonts w:ascii="Times New Roman" w:eastAsia="標楷體" w:hAnsi="Times New Roman" w:cs="Times New Roman"/>
                <w:szCs w:val="24"/>
              </w:rPr>
              <w:t>相關課程與教學經驗</w:t>
            </w:r>
          </w:p>
        </w:tc>
      </w:tr>
      <w:tr w:rsidR="00B8154E" w:rsidRPr="00B8154E" w:rsidTr="00716002">
        <w:trPr>
          <w:trHeight w:val="395"/>
          <w:jc w:val="center"/>
        </w:trPr>
        <w:tc>
          <w:tcPr>
            <w:tcW w:w="438" w:type="dxa"/>
            <w:vMerge w:val="restart"/>
            <w:shd w:val="clear" w:color="auto" w:fill="B6DDE8" w:themeFill="accent5" w:themeFillTint="66"/>
            <w:vAlign w:val="center"/>
          </w:tcPr>
          <w:p w:rsidR="00B8154E" w:rsidRPr="00B8154E" w:rsidRDefault="009F45F4" w:rsidP="00B815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0" w:name="_GoBack"/>
            <w:bookmarkEnd w:id="0"/>
            <w:r w:rsidRPr="00E14318">
              <w:rPr>
                <w:rFonts w:ascii="Times New Roman" w:eastAsia="標楷體" w:hAnsi="Times New Roman" w:cs="Times New Roman" w:hint="eastAsia"/>
                <w:b/>
                <w:szCs w:val="24"/>
              </w:rPr>
              <w:t>外</w:t>
            </w:r>
            <w:r w:rsidR="00B8154E" w:rsidRPr="00B8154E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部人力資源</w:t>
            </w:r>
          </w:p>
        </w:tc>
        <w:tc>
          <w:tcPr>
            <w:tcW w:w="1288" w:type="dxa"/>
            <w:vAlign w:val="center"/>
          </w:tcPr>
          <w:p w:rsidR="00B8154E" w:rsidRPr="00B8154E" w:rsidRDefault="00E14318" w:rsidP="00E1431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顧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問</w:t>
            </w:r>
          </w:p>
        </w:tc>
        <w:tc>
          <w:tcPr>
            <w:tcW w:w="882" w:type="dxa"/>
            <w:vAlign w:val="center"/>
          </w:tcPr>
          <w:p w:rsidR="00B8154E" w:rsidRPr="00B8154E" w:rsidRDefault="003C4D60" w:rsidP="00E1431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方德隆</w:t>
            </w:r>
          </w:p>
        </w:tc>
        <w:tc>
          <w:tcPr>
            <w:tcW w:w="7425" w:type="dxa"/>
            <w:vAlign w:val="center"/>
          </w:tcPr>
          <w:p w:rsidR="003C4D60" w:rsidRPr="003C4D60" w:rsidRDefault="003C4D60" w:rsidP="003C4D60">
            <w:pPr>
              <w:spacing w:line="220" w:lineRule="exact"/>
              <w:jc w:val="both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</w:t>
            </w:r>
            <w:r w:rsidRPr="003C4D6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現職</w:t>
            </w:r>
            <w:r w:rsidRPr="003C4D6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3C4D6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高雄師範大學</w:t>
            </w:r>
            <w:r w:rsidRPr="003C4D6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3C4D6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教授兼教育學院院長</w:t>
            </w:r>
          </w:p>
          <w:p w:rsidR="003C4D60" w:rsidRDefault="003C4D60" w:rsidP="003C4D60">
            <w:pPr>
              <w:spacing w:line="220" w:lineRule="exact"/>
              <w:jc w:val="both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</w:t>
            </w:r>
            <w:r w:rsidRPr="003C4D6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英國威爾斯大學卡迪夫學院哲學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3C4D6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博士</w:t>
            </w:r>
          </w:p>
          <w:p w:rsidR="003C4D60" w:rsidRPr="003C4D60" w:rsidRDefault="003C4D60" w:rsidP="003C4D60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研究專長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</w:t>
            </w:r>
            <w:r w:rsidRPr="003C4D6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課程設計研究</w:t>
            </w:r>
            <w:r w:rsidRPr="003C4D6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3C4D6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教育人類學</w:t>
            </w:r>
            <w:r w:rsidRPr="003C4D6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3C4D6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教育社會學</w:t>
            </w:r>
            <w:r w:rsidRPr="003C4D6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3C4D6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質性研究</w:t>
            </w:r>
          </w:p>
        </w:tc>
      </w:tr>
      <w:tr w:rsidR="00E14318" w:rsidRPr="00B8154E" w:rsidTr="00E14318">
        <w:trPr>
          <w:trHeight w:hRule="exact" w:val="678"/>
          <w:jc w:val="center"/>
        </w:trPr>
        <w:tc>
          <w:tcPr>
            <w:tcW w:w="438" w:type="dxa"/>
            <w:vMerge/>
            <w:shd w:val="clear" w:color="auto" w:fill="B6DDE8" w:themeFill="accent5" w:themeFillTint="66"/>
            <w:vAlign w:val="center"/>
          </w:tcPr>
          <w:p w:rsidR="00E14318" w:rsidRPr="00B8154E" w:rsidRDefault="00E14318" w:rsidP="00B815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E14318" w:rsidRDefault="00E14318" w:rsidP="00E14318">
            <w:pPr>
              <w:spacing w:line="500" w:lineRule="exact"/>
              <w:jc w:val="center"/>
            </w:pPr>
            <w:r w:rsidRPr="009E536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顧</w:t>
            </w:r>
            <w:r w:rsidRPr="009E536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 </w:t>
            </w:r>
            <w:r w:rsidRPr="009E536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問</w:t>
            </w:r>
          </w:p>
        </w:tc>
        <w:tc>
          <w:tcPr>
            <w:tcW w:w="882" w:type="dxa"/>
            <w:vAlign w:val="center"/>
          </w:tcPr>
          <w:p w:rsidR="00E14318" w:rsidRPr="00B8154E" w:rsidRDefault="00E14318" w:rsidP="00E14318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林進材</w:t>
            </w:r>
          </w:p>
        </w:tc>
        <w:tc>
          <w:tcPr>
            <w:tcW w:w="7425" w:type="dxa"/>
            <w:vAlign w:val="center"/>
          </w:tcPr>
          <w:p w:rsidR="00E14318" w:rsidRPr="009F45F4" w:rsidRDefault="00E14318" w:rsidP="009F45F4">
            <w:pPr>
              <w:widowControl/>
              <w:spacing w:line="220" w:lineRule="exact"/>
              <w:jc w:val="both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</w:t>
            </w:r>
            <w:r w:rsidRPr="009F45F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現職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台南教育大學教育系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教授</w:t>
            </w:r>
          </w:p>
          <w:p w:rsidR="00E14318" w:rsidRDefault="00E14318" w:rsidP="003C4D60">
            <w:pPr>
              <w:widowControl/>
              <w:spacing w:line="220" w:lineRule="exact"/>
              <w:jc w:val="both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</w:t>
            </w:r>
            <w:r w:rsidRPr="003C4D60">
              <w:rPr>
                <w:rFonts w:ascii="Times New Roman" w:eastAsia="標楷體" w:hAnsi="Times New Roman" w:cs="Times New Roman"/>
                <w:sz w:val="20"/>
                <w:szCs w:val="20"/>
              </w:rPr>
              <w:t>國立台灣師範大學教育研究所博士</w:t>
            </w:r>
          </w:p>
          <w:p w:rsidR="00E14318" w:rsidRPr="009F45F4" w:rsidRDefault="00E14318" w:rsidP="003C4D60">
            <w:pPr>
              <w:widowControl/>
              <w:spacing w:line="22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3.</w:t>
            </w:r>
            <w:r w:rsidRPr="009F45F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研究專長</w:t>
            </w:r>
            <w:r w:rsidRPr="009F45F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</w:t>
            </w:r>
            <w:r w:rsidRPr="003C4D60">
              <w:rPr>
                <w:rFonts w:ascii="Times New Roman" w:eastAsia="標楷體" w:hAnsi="Times New Roman" w:cs="Times New Roman"/>
                <w:sz w:val="20"/>
                <w:szCs w:val="20"/>
              </w:rPr>
              <w:t>課程與教學、教學與學習理論</w:t>
            </w:r>
          </w:p>
        </w:tc>
      </w:tr>
      <w:tr w:rsidR="00E14318" w:rsidRPr="00B8154E" w:rsidTr="00603210">
        <w:trPr>
          <w:trHeight w:val="713"/>
          <w:jc w:val="center"/>
        </w:trPr>
        <w:tc>
          <w:tcPr>
            <w:tcW w:w="438" w:type="dxa"/>
            <w:vMerge/>
            <w:shd w:val="clear" w:color="auto" w:fill="B6DDE8" w:themeFill="accent5" w:themeFillTint="66"/>
            <w:vAlign w:val="center"/>
          </w:tcPr>
          <w:p w:rsidR="00E14318" w:rsidRPr="00B8154E" w:rsidRDefault="00E14318" w:rsidP="00B815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E14318" w:rsidRDefault="00E14318" w:rsidP="00E14318">
            <w:pPr>
              <w:spacing w:line="500" w:lineRule="exact"/>
              <w:jc w:val="center"/>
            </w:pPr>
            <w:r w:rsidRPr="009E536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顧</w:t>
            </w:r>
            <w:r w:rsidRPr="009E536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 </w:t>
            </w:r>
            <w:r w:rsidRPr="009E536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問</w:t>
            </w:r>
          </w:p>
        </w:tc>
        <w:tc>
          <w:tcPr>
            <w:tcW w:w="882" w:type="dxa"/>
            <w:vAlign w:val="center"/>
          </w:tcPr>
          <w:p w:rsidR="00E14318" w:rsidRPr="00B8154E" w:rsidRDefault="00E14318" w:rsidP="00716002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葉玉珠</w:t>
            </w:r>
          </w:p>
        </w:tc>
        <w:tc>
          <w:tcPr>
            <w:tcW w:w="7425" w:type="dxa"/>
            <w:vAlign w:val="center"/>
          </w:tcPr>
          <w:p w:rsidR="00E14318" w:rsidRPr="009F45F4" w:rsidRDefault="00E14318" w:rsidP="00716002">
            <w:pPr>
              <w:widowControl/>
              <w:spacing w:line="220" w:lineRule="exact"/>
              <w:jc w:val="both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</w:t>
            </w:r>
            <w:r w:rsidRPr="009F45F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現職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政治大學教育系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教授</w:t>
            </w:r>
          </w:p>
          <w:p w:rsidR="00E14318" w:rsidRDefault="00E14318" w:rsidP="00716002">
            <w:pPr>
              <w:widowControl/>
              <w:spacing w:line="220" w:lineRule="exact"/>
              <w:jc w:val="both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</w:t>
            </w:r>
            <w:r w:rsidRPr="009F45F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美國維吉尼亞大學</w:t>
            </w:r>
            <w:r w:rsidRPr="009F45F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9F45F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教育學類</w:t>
            </w:r>
            <w:r w:rsidRPr="009F45F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9F45F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博士</w:t>
            </w:r>
          </w:p>
          <w:p w:rsidR="00E14318" w:rsidRPr="009F45F4" w:rsidRDefault="00E14318" w:rsidP="00716002">
            <w:pPr>
              <w:widowControl/>
              <w:spacing w:line="22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3.</w:t>
            </w:r>
            <w:r w:rsidRPr="009F45F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研究專長</w:t>
            </w:r>
            <w:r w:rsidRPr="009F45F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</w:t>
            </w:r>
            <w:r w:rsidRPr="009F45F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教育心理學、創造思考與批判思考教學、數位學習、認知心理學</w:t>
            </w:r>
          </w:p>
        </w:tc>
      </w:tr>
      <w:tr w:rsidR="00E14318" w:rsidRPr="00B8154E" w:rsidTr="00603210">
        <w:trPr>
          <w:trHeight w:val="700"/>
          <w:jc w:val="center"/>
        </w:trPr>
        <w:tc>
          <w:tcPr>
            <w:tcW w:w="438" w:type="dxa"/>
            <w:vMerge/>
            <w:shd w:val="clear" w:color="auto" w:fill="B6DDE8" w:themeFill="accent5" w:themeFillTint="66"/>
            <w:vAlign w:val="center"/>
          </w:tcPr>
          <w:p w:rsidR="00E14318" w:rsidRPr="00B8154E" w:rsidRDefault="00E14318" w:rsidP="00B815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E14318" w:rsidRDefault="00E14318" w:rsidP="00E14318">
            <w:pPr>
              <w:spacing w:line="500" w:lineRule="exact"/>
              <w:jc w:val="center"/>
            </w:pPr>
            <w:r w:rsidRPr="009E536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顧</w:t>
            </w:r>
            <w:r w:rsidRPr="009E536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 </w:t>
            </w:r>
            <w:r w:rsidRPr="009E536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問</w:t>
            </w:r>
          </w:p>
        </w:tc>
        <w:tc>
          <w:tcPr>
            <w:tcW w:w="882" w:type="dxa"/>
            <w:vAlign w:val="center"/>
          </w:tcPr>
          <w:p w:rsidR="00E14318" w:rsidRPr="00B8154E" w:rsidRDefault="00E14318" w:rsidP="00B8154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2"/>
              </w:rPr>
              <w:t>洗宜樂</w:t>
            </w:r>
            <w:proofErr w:type="gramEnd"/>
          </w:p>
        </w:tc>
        <w:tc>
          <w:tcPr>
            <w:tcW w:w="7425" w:type="dxa"/>
            <w:vAlign w:val="center"/>
          </w:tcPr>
          <w:p w:rsidR="00E14318" w:rsidRPr="00B8154E" w:rsidRDefault="00E14318" w:rsidP="00B8154E">
            <w:pPr>
              <w:widowControl/>
              <w:spacing w:line="22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HK"/>
              </w:rPr>
            </w:pPr>
            <w:r w:rsidRPr="00B8154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HK"/>
              </w:rPr>
              <w:t>1.</w:t>
            </w:r>
            <w:r w:rsidRPr="00E1431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現職澎湖海洋生物研究中心</w:t>
            </w:r>
            <w:r w:rsidRPr="00E1431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E1431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研究員</w:t>
            </w:r>
          </w:p>
          <w:p w:rsidR="00E14318" w:rsidRPr="00B8154E" w:rsidRDefault="00E14318" w:rsidP="00B8154E">
            <w:pPr>
              <w:widowControl/>
              <w:spacing w:line="22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HK"/>
              </w:rPr>
            </w:pPr>
            <w:r w:rsidRPr="00B8154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HK"/>
              </w:rPr>
              <w:t>2.</w:t>
            </w:r>
            <w:r w:rsidRPr="00B8154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HK"/>
              </w:rPr>
              <w:t>本校</w:t>
            </w:r>
            <w:r w:rsidRPr="00E1431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海洋環境教育諮商專家</w:t>
            </w:r>
            <w:r w:rsidRPr="00B8154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HK"/>
              </w:rPr>
              <w:t>。</w:t>
            </w:r>
          </w:p>
          <w:p w:rsidR="00E14318" w:rsidRPr="00B8154E" w:rsidRDefault="00E14318" w:rsidP="00B8154E">
            <w:pPr>
              <w:widowControl/>
              <w:spacing w:line="22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HK"/>
              </w:rPr>
            </w:pPr>
            <w:r w:rsidRPr="00B8154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HK"/>
              </w:rPr>
              <w:t>3.</w:t>
            </w:r>
            <w:r w:rsidRPr="00B8154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HK"/>
              </w:rPr>
              <w:t>熟稔澎湖在地</w:t>
            </w:r>
            <w:r w:rsidRPr="00E1431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海洋</w:t>
            </w:r>
            <w:r w:rsidRPr="00B8154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HK"/>
              </w:rPr>
              <w:t>文史，協助本計畫在地化、生活化教學部份。</w:t>
            </w:r>
          </w:p>
        </w:tc>
      </w:tr>
      <w:tr w:rsidR="00E14318" w:rsidRPr="00B8154E" w:rsidTr="006C6DE8">
        <w:trPr>
          <w:trHeight w:hRule="exact" w:val="578"/>
          <w:jc w:val="center"/>
        </w:trPr>
        <w:tc>
          <w:tcPr>
            <w:tcW w:w="438" w:type="dxa"/>
            <w:vMerge/>
            <w:shd w:val="clear" w:color="auto" w:fill="B6DDE8" w:themeFill="accent5" w:themeFillTint="66"/>
            <w:vAlign w:val="center"/>
          </w:tcPr>
          <w:p w:rsidR="00E14318" w:rsidRPr="00B8154E" w:rsidRDefault="00E14318" w:rsidP="00B815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E14318" w:rsidRPr="00B8154E" w:rsidRDefault="00E14318" w:rsidP="0071600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顧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 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問</w:t>
            </w:r>
          </w:p>
        </w:tc>
        <w:tc>
          <w:tcPr>
            <w:tcW w:w="882" w:type="dxa"/>
            <w:vAlign w:val="center"/>
          </w:tcPr>
          <w:p w:rsidR="00E14318" w:rsidRPr="00B8154E" w:rsidRDefault="00E14318" w:rsidP="00E1431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黃健忠</w:t>
            </w:r>
          </w:p>
        </w:tc>
        <w:tc>
          <w:tcPr>
            <w:tcW w:w="7425" w:type="dxa"/>
          </w:tcPr>
          <w:p w:rsidR="00E14318" w:rsidRPr="00E14318" w:rsidRDefault="00E14318" w:rsidP="00E14318">
            <w:pPr>
              <w:widowControl/>
              <w:spacing w:line="220" w:lineRule="exact"/>
              <w:jc w:val="both"/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興仁社區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理事長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  <w:p w:rsidR="00E14318" w:rsidRPr="00E14318" w:rsidRDefault="00E14318" w:rsidP="00E14318">
            <w:pPr>
              <w:widowControl/>
              <w:spacing w:line="22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打造社區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營造有成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，並與學校合作</w:t>
            </w:r>
            <w:proofErr w:type="gramStart"/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將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食</w:t>
            </w:r>
            <w:r w:rsidRPr="00E14318">
              <w:rPr>
                <w:rFonts w:ascii="標楷體" w:eastAsia="標楷體" w:hAnsi="標楷體" w:cs="Times New Roman" w:hint="eastAsia"/>
                <w:sz w:val="20"/>
                <w:szCs w:val="20"/>
              </w:rPr>
              <w:t>農、環教</w:t>
            </w:r>
            <w:proofErr w:type="gramEnd"/>
            <w:r w:rsidRPr="00E14318">
              <w:rPr>
                <w:rFonts w:ascii="標楷體" w:eastAsia="標楷體" w:hAnsi="標楷體" w:cs="Times New Roman" w:hint="eastAsia"/>
                <w:sz w:val="20"/>
                <w:szCs w:val="20"/>
              </w:rPr>
              <w:t>、海洋課程落實於</w:t>
            </w:r>
            <w:r w:rsidRPr="00E14318">
              <w:rPr>
                <w:rFonts w:ascii="標楷體" w:eastAsia="標楷體" w:hAnsi="標楷體" w:cs="Times New Roman" w:hint="eastAsia"/>
                <w:sz w:val="20"/>
                <w:szCs w:val="20"/>
                <w:lang w:eastAsia="zh-HK"/>
              </w:rPr>
              <w:t>社區。</w:t>
            </w:r>
          </w:p>
        </w:tc>
      </w:tr>
      <w:tr w:rsidR="00E14318" w:rsidRPr="00B8154E" w:rsidTr="00E14318">
        <w:trPr>
          <w:trHeight w:hRule="exact" w:val="546"/>
          <w:jc w:val="center"/>
        </w:trPr>
        <w:tc>
          <w:tcPr>
            <w:tcW w:w="438" w:type="dxa"/>
            <w:vMerge/>
            <w:shd w:val="clear" w:color="auto" w:fill="B6DDE8" w:themeFill="accent5" w:themeFillTint="66"/>
            <w:vAlign w:val="center"/>
          </w:tcPr>
          <w:p w:rsidR="00E14318" w:rsidRPr="00B8154E" w:rsidRDefault="00E14318" w:rsidP="00B815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E14318" w:rsidRPr="00B8154E" w:rsidRDefault="00E14318" w:rsidP="0071600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顧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 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問</w:t>
            </w:r>
          </w:p>
        </w:tc>
        <w:tc>
          <w:tcPr>
            <w:tcW w:w="882" w:type="dxa"/>
            <w:vAlign w:val="center"/>
          </w:tcPr>
          <w:p w:rsidR="00E14318" w:rsidRPr="00B8154E" w:rsidRDefault="00E14318" w:rsidP="0071600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蔡志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2"/>
              </w:rPr>
              <w:t>鍐</w:t>
            </w:r>
            <w:proofErr w:type="gramEnd"/>
          </w:p>
        </w:tc>
        <w:tc>
          <w:tcPr>
            <w:tcW w:w="7425" w:type="dxa"/>
          </w:tcPr>
          <w:p w:rsidR="00E14318" w:rsidRPr="00E14318" w:rsidRDefault="00E14318" w:rsidP="00E14318">
            <w:pPr>
              <w:widowControl/>
              <w:spacing w:line="220" w:lineRule="exact"/>
              <w:jc w:val="both"/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烏</w:t>
            </w:r>
            <w:proofErr w:type="gramStart"/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崁</w:t>
            </w:r>
            <w:proofErr w:type="gramEnd"/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社區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理事長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  <w:p w:rsidR="00E14318" w:rsidRPr="00E14318" w:rsidRDefault="00E14318" w:rsidP="00E14318">
            <w:pPr>
              <w:widowControl/>
              <w:spacing w:line="22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</w:pP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打造社區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營造有成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，並與學校合作</w:t>
            </w:r>
            <w:proofErr w:type="gramStart"/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將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食</w:t>
            </w:r>
            <w:r w:rsidRPr="00E14318">
              <w:rPr>
                <w:rFonts w:ascii="標楷體" w:eastAsia="標楷體" w:hAnsi="標楷體" w:cs="Times New Roman" w:hint="eastAsia"/>
                <w:sz w:val="20"/>
                <w:szCs w:val="20"/>
              </w:rPr>
              <w:t>農、環教</w:t>
            </w:r>
            <w:proofErr w:type="gramEnd"/>
            <w:r w:rsidRPr="00E14318">
              <w:rPr>
                <w:rFonts w:ascii="標楷體" w:eastAsia="標楷體" w:hAnsi="標楷體" w:cs="Times New Roman" w:hint="eastAsia"/>
                <w:sz w:val="20"/>
                <w:szCs w:val="20"/>
              </w:rPr>
              <w:t>、海洋課程落實於</w:t>
            </w:r>
            <w:r w:rsidRPr="00E14318">
              <w:rPr>
                <w:rFonts w:ascii="標楷體" w:eastAsia="標楷體" w:hAnsi="標楷體" w:cs="Times New Roman" w:hint="eastAsia"/>
                <w:sz w:val="20"/>
                <w:szCs w:val="20"/>
                <w:lang w:eastAsia="zh-HK"/>
              </w:rPr>
              <w:t>社區。</w:t>
            </w:r>
          </w:p>
        </w:tc>
      </w:tr>
      <w:tr w:rsidR="00E14318" w:rsidRPr="00B8154E" w:rsidTr="00E14318">
        <w:trPr>
          <w:trHeight w:hRule="exact" w:val="694"/>
          <w:jc w:val="center"/>
        </w:trPr>
        <w:tc>
          <w:tcPr>
            <w:tcW w:w="438" w:type="dxa"/>
            <w:vMerge/>
            <w:shd w:val="clear" w:color="auto" w:fill="B6DDE8" w:themeFill="accent5" w:themeFillTint="66"/>
            <w:vAlign w:val="center"/>
          </w:tcPr>
          <w:p w:rsidR="00E14318" w:rsidRPr="00B8154E" w:rsidRDefault="00E14318" w:rsidP="00B815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E14318" w:rsidRPr="00B8154E" w:rsidRDefault="00E14318" w:rsidP="0071600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顧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 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問</w:t>
            </w:r>
          </w:p>
        </w:tc>
        <w:tc>
          <w:tcPr>
            <w:tcW w:w="882" w:type="dxa"/>
            <w:vAlign w:val="center"/>
          </w:tcPr>
          <w:p w:rsidR="00E14318" w:rsidRPr="00B8154E" w:rsidRDefault="00E14318" w:rsidP="00E1431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王太平</w:t>
            </w:r>
          </w:p>
        </w:tc>
        <w:tc>
          <w:tcPr>
            <w:tcW w:w="7425" w:type="dxa"/>
          </w:tcPr>
          <w:p w:rsidR="00E14318" w:rsidRPr="00E14318" w:rsidRDefault="00E14318" w:rsidP="00E14318">
            <w:pPr>
              <w:widowControl/>
              <w:spacing w:line="220" w:lineRule="exact"/>
              <w:ind w:left="1"/>
              <w:jc w:val="both"/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興仁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社區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里長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  <w:p w:rsidR="00E14318" w:rsidRPr="00E14318" w:rsidRDefault="00E14318" w:rsidP="00E14318">
            <w:pPr>
              <w:widowControl/>
              <w:spacing w:line="220" w:lineRule="exact"/>
              <w:ind w:leftChars="1" w:left="418" w:hangingChars="208" w:hanging="416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熟稔社區各資源分佈與社區文史，每年擔任學校鄉土主題教學活動受訪問的耆老角色。</w:t>
            </w:r>
          </w:p>
        </w:tc>
      </w:tr>
      <w:tr w:rsidR="00E14318" w:rsidRPr="00B8154E" w:rsidTr="009F45F4">
        <w:trPr>
          <w:trHeight w:hRule="exact" w:val="706"/>
          <w:jc w:val="center"/>
        </w:trPr>
        <w:tc>
          <w:tcPr>
            <w:tcW w:w="438" w:type="dxa"/>
            <w:vMerge/>
            <w:shd w:val="clear" w:color="auto" w:fill="B6DDE8" w:themeFill="accent5" w:themeFillTint="66"/>
            <w:vAlign w:val="center"/>
          </w:tcPr>
          <w:p w:rsidR="00E14318" w:rsidRPr="00B8154E" w:rsidRDefault="00E14318" w:rsidP="00B815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E14318" w:rsidRPr="00B8154E" w:rsidRDefault="00E14318" w:rsidP="009F45F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顧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 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問</w:t>
            </w:r>
          </w:p>
        </w:tc>
        <w:tc>
          <w:tcPr>
            <w:tcW w:w="882" w:type="dxa"/>
            <w:vAlign w:val="center"/>
          </w:tcPr>
          <w:p w:rsidR="00E14318" w:rsidRPr="00B8154E" w:rsidRDefault="00E14318" w:rsidP="009F45F4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葉順圓</w:t>
            </w:r>
          </w:p>
        </w:tc>
        <w:tc>
          <w:tcPr>
            <w:tcW w:w="7425" w:type="dxa"/>
          </w:tcPr>
          <w:p w:rsidR="00E14318" w:rsidRPr="00E14318" w:rsidRDefault="00E14318" w:rsidP="00E14318">
            <w:pPr>
              <w:widowControl/>
              <w:spacing w:line="220" w:lineRule="exact"/>
              <w:jc w:val="both"/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烏</w:t>
            </w:r>
            <w:proofErr w:type="gramStart"/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崁</w:t>
            </w:r>
            <w:proofErr w:type="gramEnd"/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社區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里長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  <w:p w:rsidR="00E14318" w:rsidRPr="00E14318" w:rsidRDefault="00E14318" w:rsidP="00E14318">
            <w:pPr>
              <w:widowControl/>
              <w:spacing w:line="220" w:lineRule="exact"/>
              <w:ind w:left="274" w:hangingChars="137" w:hanging="274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</w:pP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</w:t>
            </w:r>
            <w:r w:rsidRPr="00E14318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熟稔社區各資源分佈與社區文史，每年擔任學校鄉土主題教學活動受訪問的耆老角色。</w:t>
            </w:r>
          </w:p>
        </w:tc>
      </w:tr>
    </w:tbl>
    <w:p w:rsidR="00D36684" w:rsidRPr="00B8154E" w:rsidRDefault="00D36684"/>
    <w:sectPr w:rsidR="00D36684" w:rsidRPr="00B815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D12ED"/>
    <w:multiLevelType w:val="hybridMultilevel"/>
    <w:tmpl w:val="A7F60E3A"/>
    <w:lvl w:ilvl="0" w:tplc="F3C42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0C3AB0"/>
    <w:multiLevelType w:val="hybridMultilevel"/>
    <w:tmpl w:val="EDA0CD78"/>
    <w:lvl w:ilvl="0" w:tplc="C5CCCB8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>
    <w:nsid w:val="2A011BEB"/>
    <w:multiLevelType w:val="hybridMultilevel"/>
    <w:tmpl w:val="9AF65A26"/>
    <w:lvl w:ilvl="0" w:tplc="CEEE0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04197F"/>
    <w:multiLevelType w:val="hybridMultilevel"/>
    <w:tmpl w:val="BF84CDE0"/>
    <w:lvl w:ilvl="0" w:tplc="8C924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ED87A07"/>
    <w:multiLevelType w:val="hybridMultilevel"/>
    <w:tmpl w:val="C6426B74"/>
    <w:lvl w:ilvl="0" w:tplc="1ADA7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1693FA5"/>
    <w:multiLevelType w:val="hybridMultilevel"/>
    <w:tmpl w:val="5C6E3D82"/>
    <w:lvl w:ilvl="0" w:tplc="5DFC1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21518ED"/>
    <w:multiLevelType w:val="hybridMultilevel"/>
    <w:tmpl w:val="D980AD3C"/>
    <w:lvl w:ilvl="0" w:tplc="2D5C8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4E"/>
    <w:rsid w:val="003C4D60"/>
    <w:rsid w:val="009F45F4"/>
    <w:rsid w:val="00B8154E"/>
    <w:rsid w:val="00D36684"/>
    <w:rsid w:val="00E1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B81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81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45F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B81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81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45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2019-03-25T07:19:00Z</dcterms:created>
  <dcterms:modified xsi:type="dcterms:W3CDTF">2019-03-25T07:19:00Z</dcterms:modified>
</cp:coreProperties>
</file>