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41471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</w:t>
      </w:r>
      <w:r w:rsidRPr="004977DF">
        <w:rPr>
          <w:rFonts w:ascii="微軟正黑體" w:eastAsia="微軟正黑體" w:hAnsi="微軟正黑體" w:hint="eastAsia"/>
          <w:b/>
          <w:sz w:val="32"/>
          <w:szCs w:val="32"/>
        </w:rPr>
        <w:t>年度</w:t>
      </w:r>
      <w:r w:rsidR="0032197C" w:rsidRPr="004977DF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4977DF">
        <w:rPr>
          <w:rFonts w:ascii="微軟正黑體" w:eastAsia="微軟正黑體" w:hAnsi="微軟正黑體" w:hint="eastAsia"/>
          <w:b/>
          <w:sz w:val="32"/>
          <w:szCs w:val="32"/>
        </w:rPr>
        <w:t xml:space="preserve">國民小學 </w:t>
      </w:r>
      <w:r w:rsidR="008C01C1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4977DF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 w:rsidRPr="004977DF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4977DF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4977DF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4977DF">
        <w:rPr>
          <w:rFonts w:ascii="微軟正黑體" w:eastAsia="微軟正黑體" w:hAnsi="微軟正黑體" w:hint="eastAsia"/>
          <w:b/>
          <w:sz w:val="32"/>
          <w:szCs w:val="32"/>
        </w:rPr>
        <w:t>性課程</w:t>
      </w:r>
      <w:r w:rsidR="00AB2720" w:rsidRPr="004977DF">
        <w:rPr>
          <w:rFonts w:ascii="微軟正黑體" w:eastAsia="微軟正黑體" w:hAnsi="微軟正黑體" w:hint="eastAsia"/>
          <w:b/>
          <w:sz w:val="32"/>
          <w:szCs w:val="32"/>
        </w:rPr>
        <w:t>版畫</w:t>
      </w:r>
      <w:r w:rsidRPr="004977DF">
        <w:rPr>
          <w:rFonts w:ascii="微軟正黑體" w:eastAsia="微軟正黑體" w:hAnsi="微軟正黑體" w:hint="eastAsia"/>
          <w:b/>
          <w:sz w:val="32"/>
          <w:szCs w:val="32"/>
        </w:rPr>
        <w:t>教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D647CF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□其他(請說明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780CAE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4977DF" w:rsidRDefault="00D647CF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4977DF">
              <w:rPr>
                <w:rFonts w:asciiTheme="minorEastAsia" w:hAnsiTheme="minorEastAsia" w:hint="eastAsia"/>
                <w:szCs w:val="24"/>
              </w:rPr>
              <w:t>20</w:t>
            </w:r>
            <w:r w:rsidR="001B7092" w:rsidRPr="004977DF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4977DF" w:rsidRDefault="00E804EE" w:rsidP="00F5500D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社團教學團隊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E804E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社團教學團隊</w:t>
            </w:r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220183" w:rsidRDefault="00AB2720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透過不同板種的</w:t>
            </w:r>
            <w:r w:rsidR="00371BC8">
              <w:rPr>
                <w:rFonts w:asciiTheme="minorEastAsia" w:hAnsiTheme="minorEastAsia" w:hint="eastAsia"/>
                <w:szCs w:val="24"/>
              </w:rPr>
              <w:t>版</w:t>
            </w:r>
            <w:r>
              <w:rPr>
                <w:rFonts w:asciiTheme="minorEastAsia" w:hAnsiTheme="minorEastAsia" w:hint="eastAsia"/>
                <w:szCs w:val="24"/>
              </w:rPr>
              <w:t>畫特性，學習運用由點到</w:t>
            </w:r>
            <w:r w:rsidR="00371BC8">
              <w:rPr>
                <w:rFonts w:asciiTheme="minorEastAsia" w:hAnsiTheme="minorEastAsia" w:hint="eastAsia"/>
                <w:szCs w:val="24"/>
              </w:rPr>
              <w:t>線再</w:t>
            </w:r>
            <w:r>
              <w:rPr>
                <w:rFonts w:asciiTheme="minorEastAsia" w:hAnsiTheme="minorEastAsia" w:hint="eastAsia"/>
                <w:szCs w:val="24"/>
              </w:rPr>
              <w:t>到面的表現方式及</w:t>
            </w:r>
            <w:r w:rsidRPr="00DD3D65">
              <w:rPr>
                <w:rFonts w:asciiTheme="minorEastAsia" w:hAnsiTheme="minorEastAsia" w:hint="eastAsia"/>
                <w:szCs w:val="24"/>
              </w:rPr>
              <w:t>多元元素進行創作</w:t>
            </w:r>
            <w:r>
              <w:rPr>
                <w:rFonts w:asciiTheme="minorEastAsia" w:hAnsiTheme="minorEastAsia" w:hint="eastAsia"/>
                <w:szCs w:val="24"/>
              </w:rPr>
              <w:t>，並藉由創作表達自我並學習欣賞不</w:t>
            </w:r>
            <w:r w:rsidRPr="00E804EE">
              <w:rPr>
                <w:rFonts w:asciiTheme="minorEastAsia" w:hAnsiTheme="minorEastAsia" w:hint="eastAsia"/>
                <w:szCs w:val="24"/>
              </w:rPr>
              <w:t>同</w:t>
            </w:r>
            <w:r>
              <w:rPr>
                <w:rFonts w:asciiTheme="minorEastAsia" w:hAnsiTheme="minorEastAsia" w:hint="eastAsia"/>
                <w:szCs w:val="24"/>
              </w:rPr>
              <w:t>風格的作品以</w:t>
            </w:r>
            <w:r w:rsidRPr="00DD3D65">
              <w:rPr>
                <w:rFonts w:asciiTheme="minorEastAsia" w:hAnsiTheme="minorEastAsia" w:hint="eastAsia"/>
                <w:szCs w:val="24"/>
              </w:rPr>
              <w:t>增進對美感事物的賞析能力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780CA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683" w:rsidRDefault="00EA4683" w:rsidP="00EA4683">
            <w:pPr>
              <w:pStyle w:val="a8"/>
              <w:numPr>
                <w:ilvl w:val="0"/>
                <w:numId w:val="12"/>
              </w:numPr>
              <w:spacing w:line="320" w:lineRule="exact"/>
              <w:ind w:leftChars="0"/>
              <w:rPr>
                <w:rFonts w:cs="Arial"/>
              </w:rPr>
            </w:pPr>
            <w:r w:rsidRPr="008D43BC">
              <w:rPr>
                <w:rFonts w:cs="Arial" w:hint="eastAsia"/>
              </w:rPr>
              <w:t>能</w:t>
            </w:r>
            <w:r>
              <w:rPr>
                <w:rFonts w:cs="Arial" w:hint="eastAsia"/>
              </w:rPr>
              <w:t>認識不同的點與</w:t>
            </w:r>
            <w:r w:rsidRPr="008D43BC">
              <w:rPr>
                <w:rFonts w:cs="Arial" w:hint="eastAsia"/>
              </w:rPr>
              <w:t>線條等方式</w:t>
            </w:r>
            <w:r>
              <w:rPr>
                <w:rFonts w:cs="Arial" w:hint="eastAsia"/>
              </w:rPr>
              <w:t>在版畫作品上的表現</w:t>
            </w:r>
            <w:r w:rsidRPr="008D43BC">
              <w:rPr>
                <w:rFonts w:cs="Arial" w:hint="eastAsia"/>
              </w:rPr>
              <w:t>。</w:t>
            </w:r>
          </w:p>
          <w:p w:rsidR="00EA4683" w:rsidRDefault="00EA4683" w:rsidP="00EA4683">
            <w:pPr>
              <w:pStyle w:val="a8"/>
              <w:numPr>
                <w:ilvl w:val="0"/>
                <w:numId w:val="12"/>
              </w:numPr>
              <w:spacing w:line="320" w:lineRule="exact"/>
              <w:ind w:leftChars="0"/>
              <w:rPr>
                <w:rFonts w:cs="Arial"/>
              </w:rPr>
            </w:pPr>
            <w:r>
              <w:rPr>
                <w:rFonts w:cs="Arial" w:hint="eastAsia"/>
              </w:rPr>
              <w:t>能認識凸板版畫、網板版畫與凹板版畫並完成版畫創作。</w:t>
            </w:r>
          </w:p>
          <w:p w:rsidR="00780CAE" w:rsidRPr="00EA4683" w:rsidRDefault="00EA4683" w:rsidP="00EA4683">
            <w:pPr>
              <w:pStyle w:val="a8"/>
              <w:numPr>
                <w:ilvl w:val="0"/>
                <w:numId w:val="12"/>
              </w:numPr>
              <w:spacing w:line="320" w:lineRule="exact"/>
              <w:ind w:leftChars="0"/>
              <w:rPr>
                <w:rFonts w:cs="Arial"/>
              </w:rPr>
            </w:pPr>
            <w:r w:rsidRPr="00EA4683">
              <w:rPr>
                <w:rFonts w:asciiTheme="minorEastAsia" w:hAnsiTheme="minorEastAsia" w:hint="eastAsia"/>
                <w:szCs w:val="24"/>
              </w:rPr>
              <w:t>能表達對作品的看法並欣賞不同作品的美。</w:t>
            </w: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211" w:rsidRDefault="00441211" w:rsidP="0044121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A3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4F2C05">
              <w:rPr>
                <w:rFonts w:asciiTheme="minorEastAsia" w:hAnsiTheme="minorEastAsia" w:hint="eastAsia"/>
                <w:szCs w:val="24"/>
              </w:rPr>
              <w:t>規劃執行與創新應變</w:t>
            </w:r>
          </w:p>
          <w:p w:rsidR="003F29DD" w:rsidRPr="00C40ED5" w:rsidRDefault="003F29DD" w:rsidP="003F29D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B1 </w:t>
            </w:r>
            <w:r w:rsidRPr="003F29DD">
              <w:rPr>
                <w:rFonts w:asciiTheme="minorEastAsia" w:hAnsiTheme="minorEastAsia" w:hint="eastAsia"/>
                <w:szCs w:val="24"/>
              </w:rPr>
              <w:t>符號運用與溝通表達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211" w:rsidRDefault="00441211" w:rsidP="004412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F2C05">
              <w:rPr>
                <w:rFonts w:asciiTheme="minorEastAsia" w:hAnsiTheme="minorEastAsia" w:hint="eastAsia"/>
                <w:szCs w:val="24"/>
              </w:rPr>
              <w:t>藝</w:t>
            </w:r>
            <w:r>
              <w:rPr>
                <w:rFonts w:asciiTheme="minorEastAsia" w:hAnsiTheme="minorEastAsia" w:hint="eastAsia"/>
                <w:szCs w:val="24"/>
              </w:rPr>
              <w:t>-E-A3</w:t>
            </w:r>
            <w:r w:rsidRPr="004F2C05">
              <w:rPr>
                <w:rFonts w:asciiTheme="minorEastAsia" w:hAnsiTheme="minorEastAsia" w:hint="eastAsia"/>
                <w:szCs w:val="24"/>
              </w:rPr>
              <w:t>學習規劃藝術活動，豐富生活經驗。</w:t>
            </w:r>
          </w:p>
          <w:p w:rsidR="003F29DD" w:rsidRPr="003F29DD" w:rsidRDefault="003F29DD" w:rsidP="0041471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D365F">
              <w:rPr>
                <w:rFonts w:asciiTheme="minorEastAsia" w:hAnsiTheme="minorEastAsia" w:hint="eastAsia"/>
                <w:color w:val="000000" w:themeColor="text1"/>
                <w:szCs w:val="24"/>
              </w:rPr>
              <w:t>藝-E-B1理解藝術符號，以表達情意觀點。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701"/>
        <w:gridCol w:w="2552"/>
        <w:gridCol w:w="2551"/>
        <w:gridCol w:w="2552"/>
        <w:gridCol w:w="1417"/>
        <w:gridCol w:w="1134"/>
        <w:gridCol w:w="567"/>
        <w:gridCol w:w="1418"/>
      </w:tblGrid>
      <w:tr w:rsidR="00BB0832" w:rsidRPr="00BB0832" w:rsidTr="00077560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B0643" w:rsidTr="00077560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834B68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EB0643" w:rsidRPr="00834B68" w:rsidRDefault="00254D23" w:rsidP="00254D2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701" w:type="dxa"/>
            <w:vAlign w:val="center"/>
          </w:tcPr>
          <w:p w:rsidR="00EB0643" w:rsidRPr="00834B68" w:rsidRDefault="00077560" w:rsidP="00414711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ED365F" w:rsidRPr="00834B68" w:rsidRDefault="00587C88" w:rsidP="0041471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EB0643" w:rsidRPr="00834B68" w:rsidRDefault="00587C88" w:rsidP="00414711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視E-Ⅲ-1視覺元素、色彩與構成要素的辨識與溝通。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EB0643" w:rsidRPr="00834B68" w:rsidRDefault="000B05D2" w:rsidP="00414711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板畫凸版印刷介紹</w:t>
            </w:r>
          </w:p>
          <w:p w:rsidR="000B05D2" w:rsidRPr="00834B68" w:rsidRDefault="000B05D2" w:rsidP="00414711">
            <w:pPr>
              <w:pStyle w:val="a8"/>
              <w:spacing w:afterLines="15" w:after="54" w:line="280" w:lineRule="exact"/>
              <w:ind w:leftChars="0" w:left="175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(一板多色)</w:t>
            </w:r>
          </w:p>
          <w:p w:rsidR="000B05D2" w:rsidRPr="00834B68" w:rsidRDefault="000B05D2" w:rsidP="00414711">
            <w:pPr>
              <w:pStyle w:val="a8"/>
              <w:numPr>
                <w:ilvl w:val="0"/>
                <w:numId w:val="2"/>
              </w:numPr>
              <w:spacing w:afterLines="15" w:after="54" w:line="280" w:lineRule="exact"/>
              <w:ind w:leftChars="0" w:left="175" w:hangingChars="73" w:hanging="175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雕刻刀使用方式教學</w:t>
            </w:r>
          </w:p>
        </w:tc>
        <w:tc>
          <w:tcPr>
            <w:tcW w:w="1417" w:type="dxa"/>
            <w:vAlign w:val="center"/>
          </w:tcPr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EB0643" w:rsidRPr="00834B68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EB0643" w:rsidRPr="00834B68" w:rsidRDefault="004B3DF6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834B68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EB0643" w:rsidRPr="00414711" w:rsidRDefault="005E30BB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Pr="00414711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製板(第一色板)</w:t>
            </w:r>
          </w:p>
        </w:tc>
        <w:tc>
          <w:tcPr>
            <w:tcW w:w="1417" w:type="dxa"/>
            <w:vAlign w:val="center"/>
          </w:tcPr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lastRenderedPageBreak/>
              <w:t>的問題。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lastRenderedPageBreak/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1.第一次試印</w:t>
            </w:r>
          </w:p>
          <w:p w:rsidR="00414711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2.修板</w:t>
            </w:r>
          </w:p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3凸板第一色</w:t>
            </w:r>
          </w:p>
        </w:tc>
        <w:tc>
          <w:tcPr>
            <w:tcW w:w="1417" w:type="dxa"/>
            <w:vAlign w:val="center"/>
          </w:tcPr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製板(第二色板)</w:t>
            </w:r>
          </w:p>
        </w:tc>
        <w:tc>
          <w:tcPr>
            <w:tcW w:w="1417" w:type="dxa"/>
            <w:vAlign w:val="center"/>
          </w:tcPr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1.第二次試印</w:t>
            </w:r>
          </w:p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2.修板</w:t>
            </w:r>
          </w:p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3凸板第二色</w:t>
            </w:r>
          </w:p>
        </w:tc>
        <w:tc>
          <w:tcPr>
            <w:tcW w:w="1417" w:type="dxa"/>
            <w:vAlign w:val="center"/>
          </w:tcPr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製板(第三色板)</w:t>
            </w:r>
          </w:p>
        </w:tc>
        <w:tc>
          <w:tcPr>
            <w:tcW w:w="1417" w:type="dxa"/>
            <w:vAlign w:val="center"/>
          </w:tcPr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414711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 w:hint="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1.第三次試印</w:t>
            </w:r>
          </w:p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2.修板</w:t>
            </w:r>
          </w:p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3凸板第三色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製板(第四色板)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7756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77560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樹脂板(凸板)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1.第四次試印</w:t>
            </w:r>
          </w:p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2.修板</w:t>
            </w:r>
          </w:p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3凸板第四色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701" w:type="dxa"/>
            <w:vAlign w:val="center"/>
          </w:tcPr>
          <w:p w:rsidR="00414711" w:rsidRPr="00E804EE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E804EE">
              <w:rPr>
                <w:rFonts w:asciiTheme="minorEastAsia" w:hAnsiTheme="minorEastAsia" w:hint="eastAsia"/>
                <w:szCs w:val="24"/>
              </w:rPr>
              <w:t>孔版(線條表現)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-1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孔板畫原理與印刷方式介紹</w:t>
            </w:r>
          </w:p>
          <w:p w:rsidR="00414711" w:rsidRDefault="00414711" w:rsidP="000B05D2">
            <w:pPr>
              <w:pStyle w:val="a8"/>
              <w:numPr>
                <w:ilvl w:val="0"/>
                <w:numId w:val="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孔板畫工具介紹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4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草稿設計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孔版(線條表現)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草稿修改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製板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孔版(線條表現)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孔板畫印刷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作品賞析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視1-Ⅲ-2能使用視覺元素和構成要素，探索創作歷程。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-1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視覺元素、色彩與構成要素的辨識與溝通。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凹板畫原理與工具介紹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草稿設計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凹板畫刻板工具介紹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8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製板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凹板製板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凹板製板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9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凹版印刷方式教學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9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擦板技法教學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凹板試印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10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修板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10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凹版印刷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bookmarkStart w:id="0" w:name="_GoBack" w:colFirst="9" w:colLast="9"/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樹脂板(凹版)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ED365F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視1-Ⅲ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能學習多元媒材與技法，表現創作主題。</w:t>
            </w: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視E-Ⅲ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-3</w:t>
            </w:r>
            <w:r w:rsidRPr="00C96B35">
              <w:rPr>
                <w:rFonts w:asciiTheme="minorEastAsia" w:hAnsiTheme="minorEastAsia" w:hint="eastAsia"/>
                <w:color w:val="000000" w:themeColor="text1"/>
                <w:szCs w:val="24"/>
              </w:rPr>
              <w:t>設計思考與實作。</w:t>
            </w:r>
          </w:p>
        </w:tc>
        <w:tc>
          <w:tcPr>
            <w:tcW w:w="2552" w:type="dxa"/>
            <w:vAlign w:val="center"/>
          </w:tcPr>
          <w:p w:rsidR="00414711" w:rsidRPr="000B05D2" w:rsidRDefault="00414711" w:rsidP="000B05D2">
            <w:pPr>
              <w:pStyle w:val="a8"/>
              <w:numPr>
                <w:ilvl w:val="0"/>
                <w:numId w:val="11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0B05D2">
              <w:rPr>
                <w:rFonts w:asciiTheme="minorEastAsia" w:hAnsiTheme="minorEastAsia" w:hint="eastAsia"/>
                <w:szCs w:val="24"/>
              </w:rPr>
              <w:t>手上彩技法教學</w:t>
            </w:r>
          </w:p>
          <w:p w:rsidR="00414711" w:rsidRDefault="00414711" w:rsidP="000B05D2">
            <w:pPr>
              <w:pStyle w:val="a8"/>
              <w:numPr>
                <w:ilvl w:val="0"/>
                <w:numId w:val="11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手上彩實作</w:t>
            </w:r>
          </w:p>
          <w:p w:rsidR="00414711" w:rsidRPr="000B05D2" w:rsidRDefault="00414711" w:rsidP="000B05D2">
            <w:pPr>
              <w:pStyle w:val="a8"/>
              <w:numPr>
                <w:ilvl w:val="0"/>
                <w:numId w:val="11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作品欣賞</w:t>
            </w:r>
          </w:p>
        </w:tc>
        <w:tc>
          <w:tcPr>
            <w:tcW w:w="1417" w:type="dxa"/>
            <w:vAlign w:val="center"/>
          </w:tcPr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E15 覺知能資源過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度利用會導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致環境汙染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與資源耗竭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的問題。</w:t>
            </w:r>
          </w:p>
          <w:p w:rsidR="00414711" w:rsidRPr="00FC4FAA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環 E16 了解物質循環</w:t>
            </w:r>
          </w:p>
          <w:p w:rsidR="00414711" w:rsidRPr="00220183" w:rsidRDefault="00414711" w:rsidP="004147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C4FAA">
              <w:rPr>
                <w:rFonts w:asciiTheme="minorEastAsia" w:hAnsiTheme="minorEastAsia" w:hint="eastAsia"/>
                <w:szCs w:val="24"/>
              </w:rPr>
              <w:t>與資源回收利用的原理。</w:t>
            </w:r>
          </w:p>
        </w:tc>
        <w:tc>
          <w:tcPr>
            <w:tcW w:w="1134" w:type="dxa"/>
            <w:vAlign w:val="center"/>
          </w:tcPr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實作</w:t>
            </w:r>
          </w:p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D6042">
              <w:rPr>
                <w:rFonts w:asciiTheme="minorEastAsia" w:hAnsiTheme="minorEastAsia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Pr="00414711" w:rsidRDefault="00414711" w:rsidP="00661EE3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414711">
              <w:rPr>
                <w:rFonts w:asciiTheme="minorEastAsia" w:hAnsiTheme="minorEastAsia" w:hint="eastAsia"/>
                <w:szCs w:val="24"/>
              </w:rPr>
              <w:t>環境教育</w:t>
            </w:r>
          </w:p>
        </w:tc>
      </w:tr>
      <w:bookmarkEnd w:id="0"/>
      <w:tr w:rsidR="00414711" w:rsidTr="0007756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70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結業式</w:t>
            </w:r>
          </w:p>
        </w:tc>
        <w:tc>
          <w:tcPr>
            <w:tcW w:w="255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4711" w:rsidRPr="00220183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14711" w:rsidRDefault="00414711" w:rsidP="000B05D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14711" w:rsidRDefault="00414711" w:rsidP="000B05D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14711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414711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14711" w:rsidRPr="00220183" w:rsidRDefault="00414711" w:rsidP="000B05D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14711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711" w:rsidRPr="00220183" w:rsidRDefault="00414711" w:rsidP="00E804EE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414711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14711" w:rsidRDefault="00414711" w:rsidP="000B05D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414711" w:rsidRDefault="00414711" w:rsidP="000B05D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>
              <w:rPr>
                <w:rFonts w:asciiTheme="minorEastAsia" w:hAnsiTheme="minorEastAsia" w:hint="eastAsia"/>
                <w:szCs w:val="24"/>
              </w:rPr>
              <w:t>。各校可參酌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414711" w:rsidRPr="003D6042" w:rsidRDefault="00414711" w:rsidP="000B05D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06A" w:rsidRDefault="00F1106A" w:rsidP="007F6928">
      <w:r>
        <w:separator/>
      </w:r>
    </w:p>
  </w:endnote>
  <w:endnote w:type="continuationSeparator" w:id="0">
    <w:p w:rsidR="00F1106A" w:rsidRDefault="00F1106A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06A" w:rsidRDefault="00F1106A" w:rsidP="007F6928">
      <w:r>
        <w:separator/>
      </w:r>
    </w:p>
  </w:footnote>
  <w:footnote w:type="continuationSeparator" w:id="0">
    <w:p w:rsidR="00F1106A" w:rsidRDefault="00F1106A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471"/>
    <w:multiLevelType w:val="hybridMultilevel"/>
    <w:tmpl w:val="F1F03C0A"/>
    <w:lvl w:ilvl="0" w:tplc="3FE0D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7A8D"/>
    <w:multiLevelType w:val="hybridMultilevel"/>
    <w:tmpl w:val="4760AA18"/>
    <w:lvl w:ilvl="0" w:tplc="37FE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E358D3"/>
    <w:multiLevelType w:val="hybridMultilevel"/>
    <w:tmpl w:val="810073FE"/>
    <w:lvl w:ilvl="0" w:tplc="59163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8351C5"/>
    <w:multiLevelType w:val="hybridMultilevel"/>
    <w:tmpl w:val="C366D202"/>
    <w:lvl w:ilvl="0" w:tplc="408EF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76592F"/>
    <w:multiLevelType w:val="hybridMultilevel"/>
    <w:tmpl w:val="DCDA4D62"/>
    <w:lvl w:ilvl="0" w:tplc="32EA9A10">
      <w:start w:val="1"/>
      <w:numFmt w:val="taiwaneseCountingThousand"/>
      <w:lvlText w:val="(%1)"/>
      <w:lvlJc w:val="left"/>
      <w:pPr>
        <w:ind w:left="420" w:hanging="4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561741"/>
    <w:multiLevelType w:val="hybridMultilevel"/>
    <w:tmpl w:val="044AE40E"/>
    <w:lvl w:ilvl="0" w:tplc="02B4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E640963"/>
    <w:multiLevelType w:val="hybridMultilevel"/>
    <w:tmpl w:val="602CEE1E"/>
    <w:lvl w:ilvl="0" w:tplc="E1F05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D50EBA"/>
    <w:multiLevelType w:val="hybridMultilevel"/>
    <w:tmpl w:val="75BAC8AC"/>
    <w:lvl w:ilvl="0" w:tplc="AC9A1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F62F92"/>
    <w:multiLevelType w:val="hybridMultilevel"/>
    <w:tmpl w:val="D5EA1816"/>
    <w:lvl w:ilvl="0" w:tplc="A006A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870"/>
    <w:rsid w:val="00021A35"/>
    <w:rsid w:val="0002672C"/>
    <w:rsid w:val="00031145"/>
    <w:rsid w:val="000649EC"/>
    <w:rsid w:val="00064FDB"/>
    <w:rsid w:val="00073170"/>
    <w:rsid w:val="00077560"/>
    <w:rsid w:val="000A2092"/>
    <w:rsid w:val="000B05D2"/>
    <w:rsid w:val="000C1605"/>
    <w:rsid w:val="000C474E"/>
    <w:rsid w:val="000D4206"/>
    <w:rsid w:val="000D7A4B"/>
    <w:rsid w:val="000E77D7"/>
    <w:rsid w:val="00130584"/>
    <w:rsid w:val="0013091C"/>
    <w:rsid w:val="0014038B"/>
    <w:rsid w:val="00146364"/>
    <w:rsid w:val="00163C8C"/>
    <w:rsid w:val="00165A3A"/>
    <w:rsid w:val="00171017"/>
    <w:rsid w:val="00176466"/>
    <w:rsid w:val="001806FA"/>
    <w:rsid w:val="001B41F3"/>
    <w:rsid w:val="001B7092"/>
    <w:rsid w:val="001C7F35"/>
    <w:rsid w:val="001F07FF"/>
    <w:rsid w:val="00206EC1"/>
    <w:rsid w:val="00212661"/>
    <w:rsid w:val="00220183"/>
    <w:rsid w:val="0025254E"/>
    <w:rsid w:val="00254D23"/>
    <w:rsid w:val="002A2CDD"/>
    <w:rsid w:val="002C2DF9"/>
    <w:rsid w:val="002C5BD3"/>
    <w:rsid w:val="002E3FBA"/>
    <w:rsid w:val="0032197C"/>
    <w:rsid w:val="003269D4"/>
    <w:rsid w:val="00371BC8"/>
    <w:rsid w:val="0037522B"/>
    <w:rsid w:val="0037619E"/>
    <w:rsid w:val="003913F1"/>
    <w:rsid w:val="0039222D"/>
    <w:rsid w:val="003B03E1"/>
    <w:rsid w:val="003D6042"/>
    <w:rsid w:val="003F29DD"/>
    <w:rsid w:val="00401CE9"/>
    <w:rsid w:val="00402815"/>
    <w:rsid w:val="00414711"/>
    <w:rsid w:val="00414956"/>
    <w:rsid w:val="00437010"/>
    <w:rsid w:val="00441211"/>
    <w:rsid w:val="00481C97"/>
    <w:rsid w:val="004966FD"/>
    <w:rsid w:val="004977DF"/>
    <w:rsid w:val="004B1654"/>
    <w:rsid w:val="004B3DF6"/>
    <w:rsid w:val="004F7E9F"/>
    <w:rsid w:val="005162D7"/>
    <w:rsid w:val="00521B8A"/>
    <w:rsid w:val="00530386"/>
    <w:rsid w:val="00532CD6"/>
    <w:rsid w:val="00587C88"/>
    <w:rsid w:val="005E30BB"/>
    <w:rsid w:val="005E312B"/>
    <w:rsid w:val="006074F3"/>
    <w:rsid w:val="0062143C"/>
    <w:rsid w:val="006630EB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81F72"/>
    <w:rsid w:val="007A1E56"/>
    <w:rsid w:val="007E4F61"/>
    <w:rsid w:val="007F6928"/>
    <w:rsid w:val="00806BFA"/>
    <w:rsid w:val="00812E24"/>
    <w:rsid w:val="00834B68"/>
    <w:rsid w:val="00835121"/>
    <w:rsid w:val="008C01C1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3027"/>
    <w:rsid w:val="00A97F1D"/>
    <w:rsid w:val="00AA7B7C"/>
    <w:rsid w:val="00AB2720"/>
    <w:rsid w:val="00AB4AE4"/>
    <w:rsid w:val="00B42616"/>
    <w:rsid w:val="00B4309E"/>
    <w:rsid w:val="00B474B6"/>
    <w:rsid w:val="00B63676"/>
    <w:rsid w:val="00B70FD1"/>
    <w:rsid w:val="00BB0832"/>
    <w:rsid w:val="00BB0CE1"/>
    <w:rsid w:val="00BD0CDE"/>
    <w:rsid w:val="00BF37CA"/>
    <w:rsid w:val="00C40ED5"/>
    <w:rsid w:val="00C450D6"/>
    <w:rsid w:val="00C76E53"/>
    <w:rsid w:val="00CA1052"/>
    <w:rsid w:val="00CA69C8"/>
    <w:rsid w:val="00CE000E"/>
    <w:rsid w:val="00CE651F"/>
    <w:rsid w:val="00CF1771"/>
    <w:rsid w:val="00D07068"/>
    <w:rsid w:val="00D32071"/>
    <w:rsid w:val="00D35114"/>
    <w:rsid w:val="00D4204F"/>
    <w:rsid w:val="00D647CF"/>
    <w:rsid w:val="00D713E7"/>
    <w:rsid w:val="00DB5628"/>
    <w:rsid w:val="00DB6AF3"/>
    <w:rsid w:val="00DE0087"/>
    <w:rsid w:val="00E14317"/>
    <w:rsid w:val="00E25737"/>
    <w:rsid w:val="00E35A2E"/>
    <w:rsid w:val="00E526D3"/>
    <w:rsid w:val="00E804EE"/>
    <w:rsid w:val="00E82D18"/>
    <w:rsid w:val="00E87070"/>
    <w:rsid w:val="00EA2870"/>
    <w:rsid w:val="00EA4683"/>
    <w:rsid w:val="00EA60AB"/>
    <w:rsid w:val="00EB0643"/>
    <w:rsid w:val="00EC3F5A"/>
    <w:rsid w:val="00ED365F"/>
    <w:rsid w:val="00F05EE4"/>
    <w:rsid w:val="00F1106A"/>
    <w:rsid w:val="00F207D9"/>
    <w:rsid w:val="00F25A52"/>
    <w:rsid w:val="00F357BA"/>
    <w:rsid w:val="00F414C4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BA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EB615-CA25-44B3-98F4-868B2ECE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2019-02-22T06:19:00Z</dcterms:created>
  <dcterms:modified xsi:type="dcterms:W3CDTF">2019-08-06T06:56:00Z</dcterms:modified>
</cp:coreProperties>
</file>